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72342E">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72342E">
            <w:pPr>
              <w:framePr w:hSpace="180" w:wrap="auto" w:vAnchor="page" w:hAnchor="margin" w:x="358" w:y="905"/>
              <w:rPr>
                <w:szCs w:val="24"/>
              </w:rPr>
            </w:pPr>
            <w:r w:rsidRPr="00207827">
              <w:rPr>
                <w:szCs w:val="24"/>
              </w:rPr>
              <w:t>АО «ДК РЕГИОН»</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72342E">
            <w:pPr>
              <w:framePr w:hSpace="180" w:wrap="auto" w:vAnchor="page" w:hAnchor="margin" w:x="358" w:y="905"/>
              <w:rPr>
                <w:szCs w:val="24"/>
              </w:rPr>
            </w:pPr>
          </w:p>
          <w:p w:rsidR="00AD7AEA" w:rsidRPr="00207827" w:rsidRDefault="00F013EC" w:rsidP="00CC3A0D">
            <w:pPr>
              <w:framePr w:hSpace="180" w:wrap="auto" w:vAnchor="page" w:hAnchor="margin" w:x="358" w:y="905"/>
              <w:rPr>
                <w:sz w:val="28"/>
                <w:szCs w:val="28"/>
              </w:rPr>
            </w:pPr>
            <w:r w:rsidRPr="00207827">
              <w:rPr>
                <w:szCs w:val="24"/>
              </w:rPr>
              <w:t>«</w:t>
            </w:r>
            <w:r w:rsidR="004E6C9F">
              <w:rPr>
                <w:szCs w:val="24"/>
              </w:rPr>
              <w:t>1</w:t>
            </w:r>
            <w:r w:rsidR="00CC3A0D">
              <w:rPr>
                <w:szCs w:val="24"/>
              </w:rPr>
              <w:t>3</w:t>
            </w:r>
            <w:r w:rsidRPr="00207827">
              <w:rPr>
                <w:szCs w:val="24"/>
              </w:rPr>
              <w:t xml:space="preserve">» </w:t>
            </w:r>
            <w:r w:rsidR="004C6C12">
              <w:rPr>
                <w:szCs w:val="24"/>
              </w:rPr>
              <w:t xml:space="preserve"> </w:t>
            </w:r>
            <w:r w:rsidR="00CC3A0D">
              <w:rPr>
                <w:szCs w:val="24"/>
              </w:rPr>
              <w:t xml:space="preserve">июля </w:t>
            </w:r>
            <w:r w:rsidR="00CC3A0D" w:rsidRPr="00207827">
              <w:rPr>
                <w:szCs w:val="24"/>
              </w:rPr>
              <w:t xml:space="preserve"> </w:t>
            </w:r>
            <w:r>
              <w:rPr>
                <w:szCs w:val="24"/>
              </w:rPr>
              <w:t>202</w:t>
            </w:r>
            <w:r w:rsidR="004E6C9F">
              <w:rPr>
                <w:szCs w:val="24"/>
              </w:rPr>
              <w:t>2</w:t>
            </w:r>
            <w:r>
              <w:rPr>
                <w:szCs w:val="24"/>
              </w:rPr>
              <w:t xml:space="preserve"> </w:t>
            </w:r>
            <w:r w:rsidRPr="00207827">
              <w:rPr>
                <w:szCs w:val="24"/>
              </w:rPr>
              <w:t>г.</w:t>
            </w:r>
          </w:p>
        </w:tc>
        <w:tc>
          <w:tcPr>
            <w:tcW w:w="4395" w:type="dxa"/>
          </w:tcPr>
          <w:p w:rsidR="00AD7AEA" w:rsidRPr="00207827" w:rsidRDefault="00AD7AEA" w:rsidP="0072342E">
            <w:pPr>
              <w:framePr w:hSpace="180" w:wrap="auto" w:vAnchor="page" w:hAnchor="margin" w:x="358" w:y="905"/>
              <w:rPr>
                <w:szCs w:val="24"/>
              </w:rPr>
            </w:pPr>
            <w:r w:rsidRPr="00207827">
              <w:rPr>
                <w:szCs w:val="24"/>
              </w:rPr>
              <w:t xml:space="preserve">УТВЕРЖДЕНО </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FA592F" w:rsidP="0072342E">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72342E">
            <w:pPr>
              <w:framePr w:hSpace="180" w:wrap="auto" w:vAnchor="page" w:hAnchor="margin" w:x="358" w:y="905"/>
              <w:rPr>
                <w:szCs w:val="24"/>
              </w:rPr>
            </w:pPr>
            <w:r>
              <w:rPr>
                <w:szCs w:val="24"/>
              </w:rPr>
              <w:t>АО «РЕГИОН ЭсМ»</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1B3087" w:rsidRPr="00207827" w:rsidRDefault="001B3087"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72342E">
            <w:pPr>
              <w:framePr w:hSpace="180" w:wrap="auto" w:vAnchor="page" w:hAnchor="margin" w:x="358" w:y="905"/>
              <w:tabs>
                <w:tab w:val="left" w:pos="2722"/>
              </w:tabs>
              <w:rPr>
                <w:szCs w:val="24"/>
              </w:rPr>
            </w:pPr>
          </w:p>
          <w:p w:rsidR="00AD7AEA" w:rsidRPr="00207827" w:rsidRDefault="009F3E47" w:rsidP="00CC3A0D">
            <w:pPr>
              <w:framePr w:hSpace="180" w:wrap="auto" w:vAnchor="page" w:hAnchor="margin" w:x="358" w:y="905"/>
              <w:tabs>
                <w:tab w:val="left" w:pos="2722"/>
              </w:tabs>
              <w:rPr>
                <w:szCs w:val="24"/>
              </w:rPr>
            </w:pPr>
            <w:r w:rsidRPr="00207827">
              <w:rPr>
                <w:szCs w:val="24"/>
              </w:rPr>
              <w:t>«</w:t>
            </w:r>
            <w:r w:rsidR="004E6C9F">
              <w:rPr>
                <w:szCs w:val="24"/>
              </w:rPr>
              <w:t>1</w:t>
            </w:r>
            <w:r w:rsidR="00CC3A0D">
              <w:rPr>
                <w:szCs w:val="24"/>
              </w:rPr>
              <w:t>3</w:t>
            </w:r>
            <w:r w:rsidR="00AF5515" w:rsidRPr="00207827">
              <w:rPr>
                <w:szCs w:val="24"/>
              </w:rPr>
              <w:t xml:space="preserve">» </w:t>
            </w:r>
            <w:r w:rsidR="00CC3A0D">
              <w:rPr>
                <w:szCs w:val="24"/>
              </w:rPr>
              <w:t xml:space="preserve">июля  </w:t>
            </w:r>
            <w:r w:rsidR="00CC3A0D" w:rsidRPr="00207827">
              <w:rPr>
                <w:szCs w:val="24"/>
              </w:rPr>
              <w:t xml:space="preserve"> </w:t>
            </w:r>
            <w:r w:rsidR="00F115D7">
              <w:rPr>
                <w:szCs w:val="24"/>
              </w:rPr>
              <w:t>202</w:t>
            </w:r>
            <w:r w:rsidR="004E6C9F">
              <w:rPr>
                <w:szCs w:val="24"/>
              </w:rPr>
              <w:t>2</w:t>
            </w:r>
            <w:r w:rsidR="00781DD6">
              <w:rPr>
                <w:szCs w:val="24"/>
              </w:rPr>
              <w:t xml:space="preserve"> </w:t>
            </w:r>
            <w:r w:rsidR="00AD7AEA" w:rsidRPr="00207827">
              <w:rPr>
                <w:szCs w:val="24"/>
              </w:rPr>
              <w:t>г.</w:t>
            </w:r>
            <w:r w:rsidR="00AD7AEA" w:rsidRPr="00207827">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AF4C02" w:rsidRPr="006D7089" w:rsidRDefault="00AF4C02" w:rsidP="0072342E">
      <w:pPr>
        <w:ind w:left="360"/>
        <w:rPr>
          <w:sz w:val="28"/>
          <w:szCs w:val="28"/>
        </w:rPr>
      </w:pPr>
    </w:p>
    <w:p w:rsidR="00EC5B37" w:rsidRPr="006D7089" w:rsidRDefault="00EC5B37" w:rsidP="0072342E">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906E53" w:rsidRPr="00207827" w:rsidRDefault="00906E53" w:rsidP="00906E53">
      <w:pPr>
        <w:ind w:left="360"/>
        <w:rPr>
          <w:sz w:val="28"/>
          <w:szCs w:val="28"/>
        </w:rPr>
      </w:pPr>
    </w:p>
    <w:p w:rsidR="00906E53" w:rsidRPr="00207827" w:rsidRDefault="00906E53" w:rsidP="00906E53">
      <w:pPr>
        <w:ind w:left="360"/>
        <w:rPr>
          <w:sz w:val="28"/>
          <w:szCs w:val="28"/>
        </w:rPr>
      </w:pPr>
    </w:p>
    <w:p w:rsidR="00AF145A" w:rsidRPr="00664B66" w:rsidRDefault="00AF145A" w:rsidP="00AF145A">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Pr>
          <w:b/>
          <w:szCs w:val="24"/>
        </w:rPr>
        <w:t xml:space="preserve"> 3</w:t>
      </w:r>
      <w:r w:rsidRPr="00664B66">
        <w:rPr>
          <w:b/>
          <w:szCs w:val="24"/>
        </w:rPr>
        <w:t xml:space="preserve"> в Правила определения стоимости чистых активов открытого паевого инвестиционного фонда </w:t>
      </w:r>
      <w:r w:rsidRPr="00717908">
        <w:rPr>
          <w:b/>
          <w:szCs w:val="24"/>
        </w:rPr>
        <w:t xml:space="preserve">«Открытый </w:t>
      </w:r>
      <w:r>
        <w:rPr>
          <w:b/>
          <w:szCs w:val="24"/>
        </w:rPr>
        <w:t>п</w:t>
      </w:r>
      <w:r w:rsidRPr="00717908">
        <w:rPr>
          <w:b/>
          <w:szCs w:val="24"/>
        </w:rPr>
        <w:t xml:space="preserve">аевой </w:t>
      </w:r>
      <w:r>
        <w:rPr>
          <w:b/>
          <w:szCs w:val="24"/>
        </w:rPr>
        <w:t>и</w:t>
      </w:r>
      <w:r w:rsidRPr="00717908">
        <w:rPr>
          <w:b/>
          <w:szCs w:val="24"/>
        </w:rPr>
        <w:t xml:space="preserve">нвестиционный </w:t>
      </w:r>
      <w:r>
        <w:rPr>
          <w:b/>
          <w:szCs w:val="24"/>
        </w:rPr>
        <w:t>ф</w:t>
      </w:r>
      <w:r w:rsidRPr="00717908">
        <w:rPr>
          <w:b/>
          <w:szCs w:val="24"/>
        </w:rPr>
        <w:t xml:space="preserve">онд </w:t>
      </w:r>
      <w:r w:rsidRPr="004C4973">
        <w:rPr>
          <w:b/>
          <w:szCs w:val="24"/>
        </w:rPr>
        <w:t>рыночных финансовых инструментов «</w:t>
      </w:r>
      <w:r w:rsidRPr="00C560B9">
        <w:rPr>
          <w:b/>
          <w:szCs w:val="24"/>
        </w:rPr>
        <w:t>РЕГИОН Доходные облигации</w:t>
      </w:r>
      <w:r w:rsidRPr="004C4973">
        <w:rPr>
          <w:b/>
          <w:szCs w:val="24"/>
        </w:rPr>
        <w:t>»</w:t>
      </w:r>
    </w:p>
    <w:p w:rsidR="00AF145A" w:rsidRPr="004C4973" w:rsidRDefault="00AF145A" w:rsidP="00AF145A">
      <w:pPr>
        <w:ind w:left="360"/>
        <w:jc w:val="center"/>
        <w:rPr>
          <w:b/>
          <w:szCs w:val="24"/>
        </w:rPr>
      </w:pPr>
    </w:p>
    <w:p w:rsidR="00AF145A" w:rsidRPr="00664B66" w:rsidRDefault="00AF145A" w:rsidP="00AF145A">
      <w:pPr>
        <w:ind w:left="360"/>
        <w:rPr>
          <w:szCs w:val="24"/>
        </w:rPr>
      </w:pPr>
    </w:p>
    <w:p w:rsidR="00AF145A" w:rsidRPr="00664B66" w:rsidRDefault="00AF145A" w:rsidP="00AF145A">
      <w:pPr>
        <w:ind w:left="360"/>
        <w:jc w:val="both"/>
        <w:rPr>
          <w:szCs w:val="24"/>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rsidR="00EC5B37" w:rsidRPr="006D7089" w:rsidRDefault="00EC5B37" w:rsidP="0072342E">
      <w:pPr>
        <w:ind w:left="360"/>
        <w:rPr>
          <w:sz w:val="28"/>
          <w:szCs w:val="28"/>
        </w:rPr>
      </w:pPr>
    </w:p>
    <w:p w:rsidR="00A831A0" w:rsidRPr="00207827" w:rsidRDefault="00A831A0" w:rsidP="0072342E">
      <w:pPr>
        <w:ind w:left="360"/>
        <w:rPr>
          <w:sz w:val="28"/>
          <w:szCs w:val="28"/>
        </w:rPr>
      </w:pPr>
    </w:p>
    <w:p w:rsidR="00484282" w:rsidRPr="00207827" w:rsidRDefault="00484282" w:rsidP="0072342E">
      <w:pPr>
        <w:ind w:left="360"/>
        <w:rPr>
          <w:sz w:val="28"/>
          <w:szCs w:val="28"/>
        </w:rPr>
      </w:pPr>
    </w:p>
    <w:p w:rsidR="00484282" w:rsidRPr="00207827" w:rsidRDefault="00484282" w:rsidP="0072342E">
      <w:pPr>
        <w:jc w:val="center"/>
        <w:rPr>
          <w:b/>
          <w:bCs/>
          <w:sz w:val="34"/>
          <w:szCs w:val="34"/>
        </w:rPr>
      </w:pPr>
      <w:r w:rsidRPr="00207827">
        <w:rPr>
          <w:b/>
          <w:bCs/>
          <w:sz w:val="34"/>
          <w:szCs w:val="34"/>
        </w:rPr>
        <w:t>ПРАВИЛА</w:t>
      </w:r>
    </w:p>
    <w:p w:rsidR="00E67D84" w:rsidRPr="00287F00" w:rsidRDefault="00E67D84" w:rsidP="0072342E">
      <w:pPr>
        <w:ind w:left="-284" w:right="-284"/>
        <w:jc w:val="center"/>
        <w:rPr>
          <w:b/>
          <w:bCs/>
          <w:sz w:val="32"/>
          <w:szCs w:val="32"/>
        </w:rPr>
      </w:pPr>
      <w:r w:rsidRPr="00287F00">
        <w:rPr>
          <w:b/>
          <w:bCs/>
          <w:sz w:val="32"/>
          <w:szCs w:val="32"/>
        </w:rPr>
        <w:t xml:space="preserve">определения стоимости чистых активов </w:t>
      </w:r>
    </w:p>
    <w:p w:rsidR="00484282" w:rsidRPr="00B602F2" w:rsidRDefault="00D44DB3" w:rsidP="0072342E">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Pr="00B602F2">
        <w:rPr>
          <w:b/>
          <w:bCs/>
          <w:sz w:val="32"/>
          <w:szCs w:val="32"/>
        </w:rPr>
        <w:t>«</w:t>
      </w:r>
      <w:r>
        <w:rPr>
          <w:b/>
          <w:bCs/>
          <w:sz w:val="32"/>
          <w:szCs w:val="32"/>
        </w:rPr>
        <w:t>РЕГИОН Доходные облигации</w:t>
      </w:r>
      <w:r w:rsidRPr="00B602F2">
        <w:rPr>
          <w:b/>
          <w:bCs/>
          <w:sz w:val="32"/>
          <w:szCs w:val="32"/>
        </w:rPr>
        <w:t>»</w:t>
      </w:r>
      <w:r w:rsidR="00484282" w:rsidRPr="00B602F2">
        <w:rPr>
          <w:b/>
          <w:bCs/>
          <w:sz w:val="32"/>
          <w:szCs w:val="32"/>
        </w:rPr>
        <w:t xml:space="preserve"> </w:t>
      </w:r>
    </w:p>
    <w:p w:rsidR="00484282" w:rsidRPr="00B602F2" w:rsidRDefault="00484282" w:rsidP="0072342E">
      <w:pPr>
        <w:pStyle w:val="BodyNum"/>
        <w:numPr>
          <w:ilvl w:val="0"/>
          <w:numId w:val="0"/>
        </w:numPr>
        <w:ind w:left="2160"/>
      </w:pPr>
    </w:p>
    <w:p w:rsidR="00484282" w:rsidRPr="00B602F2" w:rsidRDefault="00484282" w:rsidP="0072342E">
      <w:pPr>
        <w:pStyle w:val="BodyNum"/>
        <w:numPr>
          <w:ilvl w:val="0"/>
          <w:numId w:val="0"/>
        </w:numPr>
        <w:ind w:left="2160"/>
      </w:pPr>
    </w:p>
    <w:p w:rsidR="00DF7B1B" w:rsidRDefault="00DF7B1B" w:rsidP="0072342E"/>
    <w:p w:rsidR="00DF7B1B" w:rsidRDefault="00DF7B1B" w:rsidP="0072342E"/>
    <w:p w:rsidR="00D44DB3" w:rsidRDefault="00D44DB3" w:rsidP="0072342E"/>
    <w:p w:rsidR="00532BF0" w:rsidRDefault="00532BF0" w:rsidP="0072342E"/>
    <w:p w:rsidR="00532BF0" w:rsidRDefault="00532BF0" w:rsidP="0072342E"/>
    <w:p w:rsidR="00532BF0" w:rsidRDefault="00532BF0" w:rsidP="0072342E"/>
    <w:p w:rsidR="00532BF0" w:rsidRDefault="00532BF0" w:rsidP="0072342E"/>
    <w:p w:rsidR="00532BF0" w:rsidRDefault="00532BF0" w:rsidP="0072342E"/>
    <w:p w:rsidR="00EA4001" w:rsidRPr="00DF7B1B" w:rsidRDefault="00EA4001" w:rsidP="0072342E">
      <w:pPr>
        <w:pStyle w:val="15"/>
      </w:pPr>
      <w:bookmarkStart w:id="0" w:name="_Toc66447208"/>
      <w:bookmarkStart w:id="1" w:name="_Toc74043288"/>
      <w:r w:rsidRPr="0059768E">
        <w:lastRenderedPageBreak/>
        <w:t>Общие</w:t>
      </w:r>
      <w:r w:rsidRPr="00DF7B1B">
        <w:t xml:space="preserve"> положения.</w:t>
      </w:r>
      <w:bookmarkEnd w:id="0"/>
      <w:bookmarkEnd w:id="1"/>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D44DB3" w:rsidRPr="00F825E1">
        <w:rPr>
          <w:rFonts w:ascii="Times New Roman" w:hAnsi="Times New Roman"/>
          <w:sz w:val="24"/>
          <w:szCs w:val="24"/>
        </w:rPr>
        <w:t xml:space="preserve">Открытого паевого инвестиционного фонда </w:t>
      </w:r>
      <w:r w:rsidR="00D44DB3">
        <w:rPr>
          <w:rFonts w:ascii="Times New Roman" w:hAnsi="Times New Roman"/>
          <w:sz w:val="24"/>
          <w:szCs w:val="24"/>
        </w:rPr>
        <w:t>рыночных финансовых инструментов</w:t>
      </w:r>
      <w:r w:rsidR="00D44DB3" w:rsidRPr="000C6C4D">
        <w:rPr>
          <w:rFonts w:ascii="Times New Roman" w:hAnsi="Times New Roman"/>
          <w:sz w:val="24"/>
          <w:szCs w:val="24"/>
        </w:rPr>
        <w:t xml:space="preserve"> </w:t>
      </w:r>
      <w:r w:rsidR="00D44DB3" w:rsidRPr="00337DBE">
        <w:rPr>
          <w:rFonts w:ascii="Times New Roman" w:hAnsi="Times New Roman"/>
          <w:sz w:val="24"/>
          <w:szCs w:val="24"/>
        </w:rPr>
        <w:t>«</w:t>
      </w:r>
      <w:r w:rsidR="00D44DB3" w:rsidRPr="005C71F8">
        <w:rPr>
          <w:rFonts w:ascii="Times New Roman" w:hAnsi="Times New Roman"/>
          <w:sz w:val="24"/>
          <w:szCs w:val="24"/>
        </w:rPr>
        <w:t>РЕГИОН Доходные облигации</w:t>
      </w:r>
      <w:r w:rsidR="00D44DB3" w:rsidRPr="00337DBE">
        <w:rPr>
          <w:rFonts w:ascii="Times New Roman" w:hAnsi="Times New Roman"/>
          <w:sz w:val="24"/>
          <w:szCs w:val="24"/>
        </w:rPr>
        <w:t>»</w:t>
      </w:r>
      <w:r w:rsidR="00D44DB3" w:rsidDel="00337DBE">
        <w:rPr>
          <w:rFonts w:ascii="Times New Roman" w:hAnsi="Times New Roman"/>
          <w:sz w:val="24"/>
          <w:szCs w:val="24"/>
        </w:rPr>
        <w:t xml:space="preserve"> </w:t>
      </w:r>
      <w:r w:rsidR="00D44DB3" w:rsidRPr="00F825E1">
        <w:rPr>
          <w:rFonts w:ascii="Times New Roman" w:hAnsi="Times New Roman"/>
          <w:sz w:val="24"/>
          <w:szCs w:val="24"/>
        </w:rPr>
        <w:t xml:space="preserve">под управлением Акционерного общества «РЕГИОН Эссет Менеджмент» </w:t>
      </w:r>
      <w:r w:rsidR="00E67D84" w:rsidRPr="00F825E1">
        <w:rPr>
          <w:rFonts w:ascii="Times New Roman" w:hAnsi="Times New Roman"/>
          <w:sz w:val="24"/>
          <w:szCs w:val="24"/>
        </w:rPr>
        <w:t xml:space="preserve">(далее – Фонд) </w:t>
      </w:r>
      <w:r w:rsidRPr="00B602F2">
        <w:rPr>
          <w:rFonts w:ascii="Times New Roman" w:hAnsi="Times New Roman"/>
          <w:sz w:val="24"/>
          <w:szCs w:val="24"/>
        </w:rPr>
        <w:t xml:space="preserve">разработаны в соответствии с Указанием Центрального Банка Российской Федерации от 25 августа 2015 года </w:t>
      </w:r>
      <w:bookmarkStart w:id="2" w:name="_GoBack"/>
      <w:bookmarkEnd w:id="2"/>
      <w:r w:rsidRPr="00B602F2">
        <w:rPr>
          <w:rFonts w:ascii="Times New Roman" w:hAnsi="Times New Roman"/>
          <w:sz w:val="24"/>
          <w:szCs w:val="24"/>
        </w:rPr>
        <w:t>№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4E6C9F" w:rsidRDefault="008068EC" w:rsidP="0072342E">
      <w:pPr>
        <w:pStyle w:val="a0"/>
      </w:pPr>
      <w:r w:rsidRPr="004E6C9F">
        <w:t xml:space="preserve">Правила определения СЧА </w:t>
      </w:r>
      <w:r w:rsidR="0042481A" w:rsidRPr="004E6C9F">
        <w:t xml:space="preserve">в настоящей редакции </w:t>
      </w:r>
      <w:r w:rsidRPr="004E6C9F">
        <w:t xml:space="preserve">применяются </w:t>
      </w:r>
      <w:r w:rsidR="0042481A" w:rsidRPr="004E6C9F">
        <w:t xml:space="preserve">с </w:t>
      </w:r>
      <w:r w:rsidR="004E6C9F" w:rsidRPr="004E6C9F">
        <w:t xml:space="preserve">29 </w:t>
      </w:r>
      <w:r w:rsidR="00CC3A0D">
        <w:t>ию</w:t>
      </w:r>
      <w:r w:rsidR="00CC3A0D" w:rsidRPr="004E6C9F">
        <w:t xml:space="preserve">ля   </w:t>
      </w:r>
      <w:r w:rsidR="0042481A" w:rsidRPr="004E6C9F">
        <w:t>20</w:t>
      </w:r>
      <w:r w:rsidR="00EC149B" w:rsidRPr="004E6C9F">
        <w:t>2</w:t>
      </w:r>
      <w:r w:rsidR="004E6C9F" w:rsidRPr="004E6C9F">
        <w:t>2</w:t>
      </w:r>
      <w:r w:rsidR="0042481A" w:rsidRPr="004E6C9F">
        <w:t>г.</w:t>
      </w:r>
      <w:r w:rsidRPr="004E6C9F">
        <w:t xml:space="preserve"> </w:t>
      </w:r>
    </w:p>
    <w:p w:rsidR="00EB2CBA" w:rsidRPr="004E6C9F" w:rsidRDefault="0033487F" w:rsidP="0072342E">
      <w:pPr>
        <w:pStyle w:val="a0"/>
      </w:pPr>
      <w:r w:rsidRPr="004E6C9F">
        <w:t xml:space="preserve">Изменения и дополнения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на 23:59 часов московского времени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lastRenderedPageBreak/>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1.5pt" o:ole="">
            <v:imagedata r:id="rId9" o:title=""/>
          </v:shape>
          <o:OLEObject Type="Embed" ProgID="Equation.3" ShapeID="_x0000_i1025" DrawAspect="Content" ObjectID="_1719229790"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9pt;height:16.5pt" o:ole="">
            <v:imagedata r:id="rId11" o:title=""/>
          </v:shape>
          <o:OLEObject Type="Embed" ProgID="Equation.3" ShapeID="_x0000_i1026" DrawAspect="Content" ObjectID="_1719229791"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2pt;height:12pt" o:ole="">
            <v:imagedata r:id="rId13" o:title=""/>
          </v:shape>
          <o:OLEObject Type="Embed" ProgID="Equation.3" ShapeID="_x0000_i1027" DrawAspect="Content" ObjectID="_1719229792"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4.25pt;height:19.5pt" o:ole="">
            <v:imagedata r:id="rId15" o:title=""/>
          </v:shape>
          <o:OLEObject Type="Embed" ProgID="Equation.3" ShapeID="_x0000_i1028" DrawAspect="Content" ObjectID="_1719229793"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2pt;height:19.5pt" o:ole="">
            <v:imagedata r:id="rId17" o:title=""/>
          </v:shape>
          <o:OLEObject Type="Embed" ProgID="Equation.3" ShapeID="_x0000_i1029" DrawAspect="Content" ObjectID="_1719229794"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5pt;height:46.5pt" o:ole="">
            <v:imagedata r:id="rId19" o:title=""/>
          </v:shape>
          <o:OLEObject Type="Embed" ProgID="Equation.3" ShapeID="_x0000_i1030" DrawAspect="Content" ObjectID="_1719229795"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6.5pt;height:18.75pt" o:ole="">
            <v:imagedata r:id="rId21" o:title=""/>
          </v:shape>
          <o:OLEObject Type="Embed" ProgID="Equation.3" ShapeID="_x0000_i1031" DrawAspect="Content" ObjectID="_1719229796"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3.25pt;height:18.75pt" o:ole="">
            <v:imagedata r:id="rId23" o:title=""/>
          </v:shape>
          <o:OLEObject Type="Embed" ProgID="Equation.3" ShapeID="_x0000_i1032" DrawAspect="Content" ObjectID="_1719229797"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9pt;height:9pt" o:ole="">
            <v:imagedata r:id="rId25" o:title=""/>
          </v:shape>
          <o:OLEObject Type="Embed" ProgID="Equation.3" ShapeID="_x0000_i1033" DrawAspect="Content" ObjectID="_1719229798"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3.25pt;height:20.25pt" o:ole="">
            <v:imagedata r:id="rId27" o:title=""/>
          </v:shape>
          <o:OLEObject Type="Embed" ProgID="Equation.3" ShapeID="_x0000_i1034" DrawAspect="Content" ObjectID="_1719229799"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3.25pt;height:23.25pt" o:ole="">
            <v:imagedata r:id="rId29" o:title=""/>
          </v:shape>
          <o:OLEObject Type="Embed" ProgID="Equation.3" ShapeID="_x0000_i1035" DrawAspect="Content" ObjectID="_1719229800"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3.5pt;height:19.5pt" o:ole="">
            <v:imagedata r:id="rId31" o:title=""/>
          </v:shape>
          <o:OLEObject Type="Embed" ProgID="Equation.3" ShapeID="_x0000_i1036" DrawAspect="Content" ObjectID="_1719229801"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5.5pt;height:31.5pt" o:ole="">
                  <v:imagedata r:id="rId33" o:title=""/>
                </v:shape>
                <o:OLEObject Type="Embed" ProgID="Equation.3" ShapeID="_x0000_i1038" DrawAspect="Content" ObjectID="_1719229802"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2pt;height:19.5pt" o:ole="">
            <v:imagedata r:id="rId35" o:title=""/>
          </v:shape>
          <o:OLEObject Type="Embed" ProgID="Equation.3" ShapeID="_x0000_i1039" DrawAspect="Content" ObjectID="_1719229803"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4.25pt;height:19.5pt" o:ole="">
            <v:imagedata r:id="rId37" o:title=""/>
          </v:shape>
          <o:OLEObject Type="Embed" ProgID="Equation.3" ShapeID="_x0000_i1040" DrawAspect="Content" ObjectID="_1719229804"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20.5pt;height:51.75pt" o:ole="">
            <v:imagedata r:id="rId39" o:title=""/>
          </v:shape>
          <o:OLEObject Type="Embed" ProgID="Equation.3" ShapeID="_x0000_i1041" DrawAspect="Content" ObjectID="_1719229805"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3.5pt;height:19.5pt" o:ole="">
            <v:imagedata r:id="rId41" o:title=""/>
          </v:shape>
          <o:OLEObject Type="Embed" ProgID="Equation.3" ShapeID="_x0000_i1042" DrawAspect="Content" ObjectID="_1719229806"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2pt;height:19.5pt" o:ole="">
            <v:imagedata r:id="rId43" o:title=""/>
          </v:shape>
          <o:OLEObject Type="Embed" ProgID="Equation.3" ShapeID="_x0000_i1043" DrawAspect="Content" ObjectID="_1719229807"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2pt;height:12pt" o:ole="">
            <v:imagedata r:id="rId13" o:title=""/>
          </v:shape>
          <o:OLEObject Type="Embed" ProgID="Equation.3" ShapeID="_x0000_i1044" DrawAspect="Content" ObjectID="_1719229808"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2pt;height:19.5pt" o:ole="">
            <v:imagedata r:id="rId46" o:title=""/>
          </v:shape>
          <o:OLEObject Type="Embed" ProgID="Equation.3" ShapeID="_x0000_i1045" DrawAspect="Content" ObjectID="_1719229809"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2pt;height:19.5pt" o:ole="">
            <v:imagedata r:id="rId43" o:title=""/>
          </v:shape>
          <o:OLEObject Type="Embed" ProgID="Equation.3" ShapeID="_x0000_i1046" DrawAspect="Content" ObjectID="_1719229810"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2pt;height:19.5pt" o:ole="">
            <v:imagedata r:id="rId46" o:title=""/>
          </v:shape>
          <o:OLEObject Type="Embed" ProgID="Equation.3" ShapeID="_x0000_i1047" DrawAspect="Content" ObjectID="_1719229811"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2pt;height:19.5pt" o:ole="">
            <v:imagedata r:id="rId43" o:title=""/>
          </v:shape>
          <o:OLEObject Type="Embed" ProgID="Equation.3" ShapeID="_x0000_i1048" DrawAspect="Content" ObjectID="_1719229812"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30pt;height:19.5pt" o:ole="">
            <v:imagedata r:id="rId51" o:title=""/>
          </v:shape>
          <o:OLEObject Type="Embed" ProgID="Equation.3" ShapeID="_x0000_i1049" DrawAspect="Content" ObjectID="_1719229813"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4.25pt;height:16.5pt" o:ole="">
            <v:imagedata r:id="rId53" o:title=""/>
          </v:shape>
          <o:OLEObject Type="Embed" ProgID="Equation.3" ShapeID="_x0000_i1050" DrawAspect="Content" ObjectID="_1719229814"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2pt;height:19.5pt" o:ole="">
            <v:imagedata r:id="rId43" o:title=""/>
          </v:shape>
          <o:OLEObject Type="Embed" ProgID="Equation.3" ShapeID="_x0000_i1051" DrawAspect="Content" ObjectID="_1719229815"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25pt;height:132pt" o:ole="">
            <v:imagedata r:id="rId56" o:title=""/>
          </v:shape>
          <o:OLEObject Type="Embed" ProgID="Equation.3" ShapeID="_x0000_i1052" DrawAspect="Content" ObjectID="_1719229816"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0.25pt;height:19.5pt" o:ole="">
            <v:imagedata r:id="rId58" o:title=""/>
          </v:shape>
          <o:OLEObject Type="Embed" ProgID="Equation.3" ShapeID="_x0000_i1053" DrawAspect="Content" ObjectID="_1719229817"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3.25pt;height:19.5pt" o:ole="">
            <v:imagedata r:id="rId60" o:title=""/>
          </v:shape>
          <o:OLEObject Type="Embed" ProgID="Equation.3" ShapeID="_x0000_i1054" DrawAspect="Content" ObjectID="_1719229818"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30pt;height:33pt" o:ole="">
            <v:imagedata r:id="rId62" o:title=""/>
          </v:shape>
          <o:OLEObject Type="Embed" ProgID="Equation.3" ShapeID="_x0000_i1055" DrawAspect="Content" ObjectID="_1719229819"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9pt;height:9pt" o:ole="">
            <v:imagedata r:id="rId25" o:title=""/>
          </v:shape>
          <o:OLEObject Type="Embed" ProgID="Equation.3" ShapeID="_x0000_i1056" DrawAspect="Content" ObjectID="_1719229820"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3.25pt;height:20.25pt" o:ole="">
            <v:imagedata r:id="rId27" o:title=""/>
          </v:shape>
          <o:OLEObject Type="Embed" ProgID="Equation.3" ShapeID="_x0000_i1057" DrawAspect="Content" ObjectID="_1719229821"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2pt;height:19.5pt" o:ole="">
            <v:imagedata r:id="rId46" o:title=""/>
          </v:shape>
          <o:OLEObject Type="Embed" ProgID="Equation.3" ShapeID="_x0000_i1058" DrawAspect="Content" ObjectID="_1719229822"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3.25pt;height:23.25pt" o:ole="">
            <v:imagedata r:id="rId29" o:title=""/>
          </v:shape>
          <o:OLEObject Type="Embed" ProgID="Equation.3" ShapeID="_x0000_i1059" DrawAspect="Content" ObjectID="_1719229823"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2pt;height:19.5pt" o:ole="">
            <v:imagedata r:id="rId46" o:title=""/>
          </v:shape>
          <o:OLEObject Type="Embed" ProgID="Equation.3" ShapeID="_x0000_i1060" DrawAspect="Content" ObjectID="_1719229824"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3.5pt;height:19.5pt" o:ole="">
            <v:imagedata r:id="rId31" o:title=""/>
          </v:shape>
          <o:OLEObject Type="Embed" ProgID="Equation.3" ShapeID="_x0000_i1061" DrawAspect="Content" ObjectID="_1719229825"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2pt;height:19.5pt" o:ole="">
            <v:imagedata r:id="rId46" o:title=""/>
          </v:shape>
          <o:OLEObject Type="Embed" ProgID="Equation.3" ShapeID="_x0000_i1062" DrawAspect="Content" ObjectID="_1719229826"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6.5pt;height:19.5pt" o:ole="">
            <v:imagedata r:id="rId71" o:title=""/>
          </v:shape>
          <o:OLEObject Type="Embed" ProgID="Equation.3" ShapeID="_x0000_i1063" DrawAspect="Content" ObjectID="_1719229827"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3.5pt;height:19.5pt" o:ole="">
            <v:imagedata r:id="rId31" o:title=""/>
          </v:shape>
          <o:OLEObject Type="Embed" ProgID="Equation.3" ShapeID="_x0000_i1064" DrawAspect="Content" ObjectID="_1719229828"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2pt;height:19.5pt" o:ole="">
            <v:imagedata r:id="rId46" o:title=""/>
          </v:shape>
          <o:OLEObject Type="Embed" ProgID="Equation.3" ShapeID="_x0000_i1065" DrawAspect="Content" ObjectID="_1719229829"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75pt;height:33pt" o:ole="">
            <v:imagedata r:id="rId75" o:title=""/>
          </v:shape>
          <o:OLEObject Type="Embed" ProgID="Equation.3" ShapeID="_x0000_i1066" DrawAspect="Content" ObjectID="_1719229830"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3.5pt;height:66.75pt" o:ole="">
              <v:imagedata r:id="rId77" o:title=""/>
            </v:shape>
            <o:OLEObject Type="Embed" ProgID="Equation.3" ShapeID="_x0000_i1067" DrawAspect="Content" ObjectID="_1719229831"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3.5pt;height:63pt" o:ole="">
                  <v:imagedata r:id="rId79" o:title=""/>
                </v:shape>
                <o:OLEObject Type="Embed" ProgID="Equation.3" ShapeID="_x0000_i1069" DrawAspect="Content" ObjectID="_1719229832"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2pt;height:19.5pt" o:ole="">
            <v:imagedata r:id="rId43" o:title=""/>
          </v:shape>
          <o:OLEObject Type="Embed" ProgID="Equation.3" ShapeID="_x0000_i1070" DrawAspect="Content" ObjectID="_1719229833"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4.25pt;height:16.5pt" o:ole="">
            <v:imagedata r:id="rId53" o:title=""/>
          </v:shape>
          <o:OLEObject Type="Embed" ProgID="Equation.3" ShapeID="_x0000_i1071" DrawAspect="Content" ObjectID="_1719229834"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(Первое по времени из событий: Дата передачи денежных средств; 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1C1A88"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1C1A88"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1C1A88"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1C1A88"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C1A88"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1C1A88"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C1A88"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1C1A88"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72342E">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72342E">
      <w:pPr>
        <w:spacing w:before="120"/>
        <w:ind w:left="720"/>
        <w:contextualSpacing/>
        <w:jc w:val="both"/>
        <w:rPr>
          <w:rFonts w:eastAsia="Calibri"/>
          <w:szCs w:val="24"/>
          <w:lang w:eastAsia="en-US"/>
        </w:rPr>
      </w:pPr>
    </w:p>
    <w:p w:rsidR="000B1B07" w:rsidRPr="00D817A7" w:rsidRDefault="000B1B07" w:rsidP="0072342E">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72342E">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72342E">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E238AB" w:rsidRPr="00D817A7" w:rsidRDefault="00221B27" w:rsidP="0072342E">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72342E">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1C1A88"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1C1A88"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1C1A88"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76257467" wp14:editId="15EF82D7">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Pr="00B602F2"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Pr="006D7089" w:rsidRDefault="00D7733C" w:rsidP="0072342E">
      <w:pPr>
        <w:rPr>
          <w:b/>
          <w:i/>
          <w:szCs w:val="24"/>
        </w:rPr>
      </w:pPr>
      <w:r w:rsidRPr="006D7089">
        <w:rPr>
          <w:b/>
          <w:i/>
          <w:szCs w:val="24"/>
        </w:rPr>
        <w:t>Облигации, номинированные в рублях.</w:t>
      </w:r>
    </w:p>
    <w:p w:rsidR="00E201F4" w:rsidRPr="00B602F2" w:rsidRDefault="00D7733C" w:rsidP="0072342E">
      <w:pPr>
        <w:ind w:firstLine="426"/>
        <w:jc w:val="both"/>
        <w:rPr>
          <w:b/>
          <w:szCs w:val="24"/>
        </w:rPr>
      </w:pPr>
      <w:r w:rsidRPr="00207827">
        <w:rPr>
          <w:szCs w:val="24"/>
        </w:rPr>
        <w:t>С</w:t>
      </w:r>
      <w:r w:rsidR="00E201F4" w:rsidRPr="00B602F2">
        <w:rPr>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4.75pt;height:34.5pt" o:ole="">
            <v:imagedata r:id="rId84" o:title=""/>
          </v:shape>
          <o:OLEObject Type="Embed" ProgID="Equation.3" ShapeID="_x0000_i1072" DrawAspect="Content" ObjectID="_1719229835"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Default="00E201F4" w:rsidP="00887662">
      <w:r w:rsidRPr="00906E53">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887662" w:rsidRDefault="001C1A88" w:rsidP="00887662">
      <w:pPr>
        <w:rPr>
          <w:color w:val="1F497D"/>
        </w:rPr>
      </w:pPr>
      <w:hyperlink r:id="rId86" w:history="1">
        <w:r w:rsidR="00887662">
          <w:rPr>
            <w:rStyle w:val="a7"/>
          </w:rPr>
          <w:t>https://www.spglobal.com/ratings/en/research/articles/220413-default-transition-and-recovery-2021-annual-global-corporate-default-and-rating-transition-study-12336975</w:t>
        </w:r>
      </w:hyperlink>
    </w:p>
    <w:p w:rsidR="00E201F4" w:rsidRPr="00906E53" w:rsidRDefault="00E201F4" w:rsidP="0072342E">
      <w:pPr>
        <w:ind w:firstLine="284"/>
        <w:jc w:val="both"/>
        <w:rPr>
          <w:szCs w:val="24"/>
        </w:rPr>
      </w:pPr>
      <w:r w:rsidRPr="00906E53">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7F38DF">
        <w:rPr>
          <w:szCs w:val="24"/>
        </w:rPr>
        <w:t xml:space="preserve">Государственные ценные бумаги Российской Федерации </w:t>
      </w:r>
      <w:r w:rsidR="005C5905">
        <w:rPr>
          <w:szCs w:val="24"/>
        </w:rPr>
        <w:t>в целях определения рейтинговой группы учитываются с</w:t>
      </w:r>
      <w:r w:rsidR="00514F17">
        <w:rPr>
          <w:szCs w:val="24"/>
        </w:rPr>
        <w:t xml:space="preserve"> </w:t>
      </w:r>
      <w:r w:rsidR="005C5905">
        <w:rPr>
          <w:szCs w:val="24"/>
        </w:rPr>
        <w:t>рейтингом</w:t>
      </w:r>
      <w:r w:rsidR="00514F17">
        <w:rPr>
          <w:szCs w:val="24"/>
        </w:rPr>
        <w:t xml:space="preserve"> РФ по состоянию на 01.02.2022</w:t>
      </w:r>
      <w:r w:rsidR="007F38DF">
        <w:rPr>
          <w:szCs w:val="24"/>
        </w:rPr>
        <w:t>.</w:t>
      </w:r>
      <w:r w:rsidRPr="00B602F2">
        <w:rPr>
          <w:szCs w:val="24"/>
        </w:rPr>
        <w:t xml:space="preserve"> </w:t>
      </w:r>
      <w:r w:rsidR="0072104B">
        <w:rPr>
          <w:szCs w:val="24"/>
        </w:rPr>
        <w:t xml:space="preserve">Через сопоставление  </w:t>
      </w:r>
      <w:r w:rsidR="0072104B" w:rsidRPr="00854A94">
        <w:rPr>
          <w:szCs w:val="24"/>
        </w:rPr>
        <w:t xml:space="preserve">рейтингов </w:t>
      </w:r>
      <w:r w:rsidR="0072104B" w:rsidRPr="00AA42CF">
        <w:rPr>
          <w:szCs w:val="24"/>
        </w:rPr>
        <w:t xml:space="preserve">с рейтингами АО «Эксперт РА» </w:t>
      </w:r>
      <w:r w:rsidR="0072104B">
        <w:rPr>
          <w:szCs w:val="24"/>
        </w:rPr>
        <w:t xml:space="preserve"> </w:t>
      </w:r>
    </w:p>
    <w:p w:rsidR="00FD2219" w:rsidRPr="001C2B7D" w:rsidRDefault="00FD2219" w:rsidP="0072342E">
      <w:pPr>
        <w:spacing w:after="120"/>
        <w:ind w:firstLine="426"/>
        <w:jc w:val="both"/>
        <w:rPr>
          <w:b/>
          <w:szCs w:val="24"/>
        </w:rPr>
      </w:pPr>
      <w:r w:rsidRPr="001C2B7D">
        <w:rPr>
          <w:b/>
          <w:szCs w:val="24"/>
        </w:rPr>
        <w:t>Таблица сопоставления рейтингов</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86"/>
        <w:gridCol w:w="1986"/>
        <w:gridCol w:w="1986"/>
      </w:tblGrid>
      <w:tr w:rsidR="00FD2219" w:rsidRPr="0047513D" w:rsidTr="001C2B7D">
        <w:trPr>
          <w:trHeight w:val="345"/>
          <w:jc w:val="center"/>
        </w:trPr>
        <w:tc>
          <w:tcPr>
            <w:tcW w:w="1685" w:type="dxa"/>
            <w:vMerge w:val="restart"/>
            <w:shd w:val="clear" w:color="auto" w:fill="D8D8D8"/>
            <w:vAlign w:val="center"/>
            <w:hideMark/>
          </w:tcPr>
          <w:p w:rsidR="00FD2219" w:rsidRPr="0047513D" w:rsidRDefault="00FD2219" w:rsidP="001C2B7D">
            <w:pPr>
              <w:jc w:val="center"/>
              <w:rPr>
                <w:b/>
                <w:bCs/>
                <w:szCs w:val="24"/>
              </w:rPr>
            </w:pPr>
            <w:r w:rsidRPr="0047513D">
              <w:rPr>
                <w:b/>
                <w:bCs/>
                <w:szCs w:val="24"/>
              </w:rPr>
              <w:t>Эксперт РА</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Moody`s</w:t>
            </w:r>
          </w:p>
        </w:tc>
        <w:tc>
          <w:tcPr>
            <w:tcW w:w="1986" w:type="dxa"/>
            <w:shd w:val="clear" w:color="auto" w:fill="D8D8D8"/>
            <w:vAlign w:val="center"/>
            <w:hideMark/>
          </w:tcPr>
          <w:p w:rsidR="00FD2219" w:rsidRPr="0047513D" w:rsidRDefault="00FD2219" w:rsidP="001C2B7D">
            <w:pPr>
              <w:jc w:val="center"/>
              <w:rPr>
                <w:b/>
                <w:bCs/>
                <w:szCs w:val="24"/>
              </w:rPr>
            </w:pPr>
            <w:r w:rsidRPr="0047513D">
              <w:rPr>
                <w:b/>
                <w:bCs/>
                <w:szCs w:val="24"/>
              </w:rPr>
              <w:t>S&amp;P</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Fitch</w:t>
            </w:r>
          </w:p>
        </w:tc>
      </w:tr>
      <w:tr w:rsidR="00FD2219" w:rsidRPr="0047513D" w:rsidTr="001C2B7D">
        <w:trPr>
          <w:trHeight w:val="345"/>
          <w:jc w:val="center"/>
        </w:trPr>
        <w:tc>
          <w:tcPr>
            <w:tcW w:w="1685" w:type="dxa"/>
            <w:vMerge/>
            <w:vAlign w:val="center"/>
            <w:hideMark/>
          </w:tcPr>
          <w:p w:rsidR="00FD2219" w:rsidRPr="0047513D" w:rsidRDefault="00FD2219" w:rsidP="001C2B7D">
            <w:pPr>
              <w:rPr>
                <w:b/>
                <w:bCs/>
                <w:szCs w:val="24"/>
              </w:rPr>
            </w:pP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433"/>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 ruA-, ruBBB+</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В1</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45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 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В2</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B3</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r>
      <w:tr w:rsidR="00FD2219" w:rsidRPr="0047513D" w:rsidTr="001C2B7D">
        <w:trPr>
          <w:trHeight w:val="345"/>
          <w:jc w:val="center"/>
        </w:trPr>
        <w:tc>
          <w:tcPr>
            <w:tcW w:w="1685" w:type="dxa"/>
            <w:shd w:val="clear" w:color="auto" w:fill="E5DFEC" w:themeFill="accent4" w:themeFillTint="33"/>
            <w:vAlign w:val="center"/>
          </w:tcPr>
          <w:p w:rsidR="00FD2219" w:rsidRPr="0047513D" w:rsidRDefault="00FD2219" w:rsidP="001C2B7D">
            <w:pPr>
              <w:jc w:val="center"/>
              <w:rPr>
                <w:szCs w:val="24"/>
              </w:rPr>
            </w:pPr>
            <w:r w:rsidRPr="0047513D">
              <w:rPr>
                <w:szCs w:val="24"/>
                <w:lang w:val="en-US"/>
              </w:rPr>
              <w:t>CCC, 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Caa, Ca,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r>
    </w:tbl>
    <w:p w:rsidR="00FD2219" w:rsidRDefault="00FD2219" w:rsidP="0072342E">
      <w:pPr>
        <w:spacing w:after="120"/>
        <w:ind w:firstLine="426"/>
        <w:jc w:val="both"/>
        <w:rPr>
          <w:szCs w:val="24"/>
        </w:rPr>
      </w:pPr>
    </w:p>
    <w:p w:rsidR="00E201F4" w:rsidRDefault="00E201F4" w:rsidP="0072342E">
      <w:pPr>
        <w:spacing w:after="120"/>
        <w:ind w:firstLine="426"/>
        <w:jc w:val="both"/>
        <w:rPr>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D7733C" w:rsidRPr="006D7089">
        <w:rPr>
          <w:szCs w:val="24"/>
        </w:rPr>
        <w:t xml:space="preserve"> </w:t>
      </w:r>
      <w:r w:rsidR="005C5905">
        <w:rPr>
          <w:szCs w:val="24"/>
        </w:rPr>
        <w:t>В случае отсутствия кредитного рейтинга у выпуска долговой ценной бумаги и эмитента при наличии государственной гарантии Российской Федерации</w:t>
      </w:r>
      <w:r w:rsidR="00516754">
        <w:rPr>
          <w:szCs w:val="24"/>
        </w:rPr>
        <w:t>, данная ценная бумага учитывается с рейтингом</w:t>
      </w:r>
      <w:r w:rsidR="00514F17">
        <w:rPr>
          <w:szCs w:val="24"/>
        </w:rPr>
        <w:t xml:space="preserve"> РФ по состоянию на 01.02.2022</w:t>
      </w:r>
      <w:r w:rsidR="00516754">
        <w:rPr>
          <w:szCs w:val="24"/>
        </w:rPr>
        <w:t xml:space="preserve">. </w:t>
      </w:r>
      <w:r w:rsidR="00D7733C" w:rsidRPr="006D7089">
        <w:rPr>
          <w:szCs w:val="24"/>
        </w:rPr>
        <w:t xml:space="preserve">В случае если выпуск является субординированным и </w:t>
      </w:r>
      <w:r w:rsidR="00D7733C" w:rsidRPr="00207827">
        <w:rPr>
          <w:szCs w:val="24"/>
        </w:rPr>
        <w:t>отсутствует</w:t>
      </w:r>
      <w:r w:rsidR="00D7733C" w:rsidRPr="006D7089">
        <w:rPr>
          <w:szCs w:val="24"/>
        </w:rPr>
        <w:t xml:space="preserve"> рейтинг эмиссии</w:t>
      </w:r>
      <w:r w:rsidR="00D7733C" w:rsidRPr="00207827">
        <w:rPr>
          <w:szCs w:val="24"/>
        </w:rPr>
        <w:t>, то полученный рейтинг эмитента или поручителя (гаранта)</w:t>
      </w:r>
      <w:r w:rsidR="00D7733C" w:rsidRPr="00B47CC0">
        <w:rPr>
          <w:szCs w:val="24"/>
        </w:rPr>
        <w:t xml:space="preserve"> снижается на 2 ступени</w:t>
      </w:r>
      <w:r w:rsidR="00D7733C" w:rsidRPr="00B602F2">
        <w:rPr>
          <w:szCs w:val="24"/>
        </w:rPr>
        <w:t>.</w:t>
      </w:r>
    </w:p>
    <w:tbl>
      <w:tblPr>
        <w:tblW w:w="5000" w:type="pct"/>
        <w:jc w:val="center"/>
        <w:tblLook w:val="04A0" w:firstRow="1" w:lastRow="0" w:firstColumn="1" w:lastColumn="0" w:noHBand="0" w:noVBand="1"/>
      </w:tblPr>
      <w:tblGrid>
        <w:gridCol w:w="3482"/>
        <w:gridCol w:w="2523"/>
        <w:gridCol w:w="3508"/>
      </w:tblGrid>
      <w:tr w:rsidR="002802F8" w:rsidRPr="00906E53" w:rsidTr="002802F8">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w:t>
            </w:r>
          </w:p>
        </w:tc>
      </w:tr>
      <w:tr w:rsidR="002802F8" w:rsidRPr="00906E53" w:rsidTr="002802F8">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w:t>
            </w:r>
          </w:p>
        </w:tc>
      </w:tr>
      <w:tr w:rsidR="002802F8" w:rsidRPr="00906E53" w:rsidTr="002802F8">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lang w:val="en-US"/>
              </w:rPr>
            </w:pPr>
            <w:r w:rsidRPr="00906E53">
              <w:rPr>
                <w:color w:val="000000"/>
                <w:szCs w:val="24"/>
                <w:lang w:val="en-US"/>
              </w:rPr>
              <w:t xml:space="preserve">AA+(RU), AA(RU)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szCs w:val="24"/>
              </w:rPr>
            </w:pPr>
            <w:r w:rsidRPr="00906E53">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II</w:t>
            </w:r>
          </w:p>
        </w:tc>
      </w:tr>
      <w:tr w:rsidR="002802F8" w:rsidRPr="00906E53" w:rsidTr="002802F8">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lang w:val="en-US"/>
              </w:rPr>
              <w:t xml:space="preserve">AA-(RU), </w:t>
            </w:r>
            <w:r w:rsidRPr="00906E53">
              <w:rPr>
                <w:color w:val="000000"/>
                <w:szCs w:val="24"/>
              </w:rPr>
              <w:t xml:space="preserve">A+(RU)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A(RU)</w:t>
            </w:r>
            <w:r w:rsidRPr="00906E53">
              <w:rPr>
                <w:color w:val="000000"/>
                <w:szCs w:val="24"/>
                <w:lang w:val="en-US"/>
              </w:rPr>
              <w:t xml:space="preserve">, </w:t>
            </w:r>
            <w:r w:rsidRPr="00906E53">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 xml:space="preserve">BBB(RU) </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w:t>
            </w:r>
          </w:p>
          <w:p w:rsidR="002802F8" w:rsidRPr="00906E53" w:rsidRDefault="002802F8" w:rsidP="0072342E">
            <w:pPr>
              <w:jc w:val="center"/>
              <w:rPr>
                <w:color w:val="000000"/>
                <w:szCs w:val="24"/>
              </w:rPr>
            </w:pPr>
            <w:r w:rsidRPr="00906E53">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lang w:val="en-US"/>
              </w:rPr>
            </w:pPr>
            <w:r w:rsidRPr="00906E53">
              <w:rPr>
                <w:b/>
                <w:bCs/>
                <w:color w:val="000000"/>
                <w:szCs w:val="24"/>
              </w:rPr>
              <w:t>Рейтинговая группа II</w:t>
            </w:r>
            <w:r w:rsidRPr="00906E53">
              <w:rPr>
                <w:b/>
                <w:bCs/>
                <w:color w:val="000000"/>
                <w:szCs w:val="24"/>
                <w:lang w:val="en-US"/>
              </w:rPr>
              <w:t>I</w:t>
            </w: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E201F4" w:rsidRPr="00B602F2" w:rsidTr="002802F8">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01F4" w:rsidRPr="00906E53" w:rsidRDefault="00E201F4" w:rsidP="0072342E">
            <w:pPr>
              <w:jc w:val="center"/>
              <w:rPr>
                <w:color w:val="000000"/>
                <w:szCs w:val="24"/>
              </w:rPr>
            </w:pPr>
            <w:r w:rsidRPr="00906E53">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E201F4" w:rsidRPr="00B602F2" w:rsidRDefault="00E201F4" w:rsidP="0072342E">
            <w:pPr>
              <w:jc w:val="center"/>
              <w:rPr>
                <w:b/>
                <w:bCs/>
                <w:color w:val="000000"/>
                <w:szCs w:val="24"/>
                <w:lang w:val="en-US"/>
              </w:rPr>
            </w:pPr>
            <w:r w:rsidRPr="00906E53">
              <w:rPr>
                <w:b/>
                <w:bCs/>
                <w:color w:val="000000"/>
                <w:szCs w:val="24"/>
              </w:rPr>
              <w:t>Рейтинговая группа I</w:t>
            </w:r>
            <w:r w:rsidRPr="00906E53">
              <w:rPr>
                <w:b/>
                <w:bCs/>
                <w:color w:val="000000"/>
                <w:szCs w:val="24"/>
                <w:lang w:val="en-US"/>
              </w:rPr>
              <w:t>V</w:t>
            </w:r>
          </w:p>
        </w:tc>
      </w:tr>
    </w:tbl>
    <w:p w:rsidR="00E201F4" w:rsidRPr="00B602F2" w:rsidRDefault="00E201F4" w:rsidP="0072342E">
      <w:pPr>
        <w:spacing w:after="120"/>
        <w:rPr>
          <w:szCs w:val="24"/>
        </w:rPr>
      </w:pPr>
    </w:p>
    <w:p w:rsidR="00E201F4" w:rsidRPr="00B602F2" w:rsidRDefault="00E201F4"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730E0">
        <w:rPr>
          <w:szCs w:val="24"/>
        </w:rPr>
        <w:t>,</w:t>
      </w:r>
      <w:r w:rsidRPr="00B602F2">
        <w:rPr>
          <w:szCs w:val="24"/>
        </w:rPr>
        <w:t xml:space="preserve"> включая дату определения справедливой стоимости.</w:t>
      </w:r>
    </w:p>
    <w:p w:rsidR="00E201F4" w:rsidRPr="00B602F2" w:rsidRDefault="00E201F4" w:rsidP="0072342E">
      <w:pPr>
        <w:spacing w:after="120"/>
        <w:ind w:firstLine="426"/>
        <w:jc w:val="both"/>
        <w:rPr>
          <w:szCs w:val="24"/>
        </w:rPr>
      </w:pPr>
      <w:r w:rsidRPr="00B602F2">
        <w:rPr>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Индекс государственных облигаций (1-3 года),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RUGBICP3Y;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 - Индекс корпоративных облигаций (1-3 года, рейтинг ≥ BBB-),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RUCBICPBBB3Y;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 - Индекс корпоративных облигаций (1-3 года, BB- ≤ рейтинг &lt; BBB-),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 Индекс корпоративных облигаций (1-3 года, B- ≤ рейтинг &lt; 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E201F4" w:rsidRPr="00207827" w:rsidRDefault="00E201F4" w:rsidP="0072342E">
      <w:pPr>
        <w:ind w:firstLine="284"/>
        <w:jc w:val="both"/>
        <w:rPr>
          <w:szCs w:val="24"/>
        </w:rPr>
      </w:pPr>
      <w:r w:rsidRPr="00207827">
        <w:rPr>
          <w:szCs w:val="24"/>
        </w:rPr>
        <w:t xml:space="preserve">Тикер - </w:t>
      </w:r>
      <w:r w:rsidRPr="00207827">
        <w:rPr>
          <w:b/>
          <w:szCs w:val="24"/>
        </w:rPr>
        <w:t>RUCBICPL2</w:t>
      </w:r>
      <w:r w:rsidRPr="00207827">
        <w:rPr>
          <w:szCs w:val="24"/>
        </w:rPr>
        <w:t xml:space="preserve"> </w:t>
      </w:r>
    </w:p>
    <w:p w:rsidR="00E201F4" w:rsidRPr="00B602F2" w:rsidRDefault="00E201F4" w:rsidP="0072342E">
      <w:pPr>
        <w:ind w:firstLine="284"/>
        <w:jc w:val="both"/>
        <w:rPr>
          <w:szCs w:val="24"/>
        </w:rPr>
      </w:pPr>
      <w:r w:rsidRPr="00B602F2">
        <w:rPr>
          <w:szCs w:val="24"/>
        </w:rPr>
        <w:t>Тикер -</w:t>
      </w:r>
      <w:r w:rsidRPr="00B602F2">
        <w:rPr>
          <w:b/>
          <w:szCs w:val="24"/>
        </w:rPr>
        <w:t>RUCBICPL3</w:t>
      </w:r>
      <w:r w:rsidRPr="00B602F2">
        <w:rPr>
          <w:szCs w:val="24"/>
        </w:rPr>
        <w:t>.</w:t>
      </w:r>
    </w:p>
    <w:p w:rsidR="00E201F4" w:rsidRPr="00B602F2" w:rsidRDefault="00E201F4" w:rsidP="0072342E">
      <w:pPr>
        <w:spacing w:after="120"/>
        <w:ind w:firstLine="426"/>
        <w:jc w:val="both"/>
        <w:rPr>
          <w:szCs w:val="24"/>
        </w:rPr>
      </w:pPr>
      <w:r w:rsidRPr="00207827">
        <w:rPr>
          <w:szCs w:val="24"/>
        </w:rPr>
        <w:t>Расчет кредитного спреда для рейтинговых групп осуществляется по следующим формулам:</w:t>
      </w:r>
    </w:p>
    <w:p w:rsidR="00E201F4" w:rsidRPr="00B602F2" w:rsidRDefault="00E201F4" w:rsidP="0072342E">
      <w:pPr>
        <w:spacing w:after="120"/>
        <w:ind w:firstLine="426"/>
        <w:jc w:val="both"/>
        <w:rPr>
          <w:b/>
          <w:szCs w:val="24"/>
        </w:rPr>
      </w:pPr>
      <w:r w:rsidRPr="00B602F2">
        <w:rPr>
          <w:b/>
          <w:szCs w:val="24"/>
        </w:rPr>
        <w:t>Рейтинговая группа 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1C1A88"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Pr="00207827" w:rsidRDefault="00E201F4" w:rsidP="0072342E">
      <w:pPr>
        <w:spacing w:after="120"/>
        <w:ind w:firstLine="426"/>
        <w:jc w:val="both"/>
        <w:rPr>
          <w:szCs w:val="24"/>
        </w:rPr>
      </w:pPr>
    </w:p>
    <w:p w:rsidR="00E201F4" w:rsidRPr="00207827" w:rsidRDefault="00E201F4" w:rsidP="0072342E">
      <w:pPr>
        <w:spacing w:after="120"/>
        <w:ind w:firstLine="426"/>
        <w:jc w:val="both"/>
        <w:rPr>
          <w:szCs w:val="24"/>
        </w:rPr>
      </w:pPr>
      <w:r w:rsidRPr="00207827">
        <w:rPr>
          <w:szCs w:val="24"/>
        </w:rPr>
        <w:t>где:</w:t>
      </w:r>
    </w:p>
    <w:p w:rsidR="00E201F4"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51080E" w:rsidRPr="00B602F2" w:rsidRDefault="0051080E" w:rsidP="0072342E">
      <w:pPr>
        <w:spacing w:after="120"/>
        <w:ind w:firstLine="426"/>
        <w:jc w:val="both"/>
        <w:rPr>
          <w:szCs w:val="24"/>
        </w:rPr>
      </w:pPr>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szCs w:val="24"/>
        </w:rPr>
        <w:t xml:space="preserve"> </w:t>
      </w:r>
      <w:r w:rsidRPr="00207827">
        <w:rPr>
          <w:b/>
          <w:szCs w:val="24"/>
        </w:rPr>
        <w:t>Рейтинговая группа II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1C1A88"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III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1C1A88"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IV</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каждый из 20 последних торговых дней, предшествующих дате определения справедливой стоимости:</w:t>
      </w:r>
    </w:p>
    <w:p w:rsidR="00E201F4" w:rsidRPr="00207827" w:rsidRDefault="001C1A88"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RUCBICPL3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1)</w:t>
      </w:r>
    </w:p>
    <w:p w:rsidR="00E201F4" w:rsidRPr="00207827" w:rsidRDefault="001C1A88"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RUCBICPL2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2)</w:t>
      </w:r>
    </w:p>
    <w:p w:rsidR="00E201F4" w:rsidRPr="00B602F2"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E201F4" w:rsidRPr="00B602F2" w:rsidRDefault="00E201F4" w:rsidP="0072342E">
      <w:pPr>
        <w:spacing w:after="120"/>
        <w:ind w:firstLine="426"/>
        <w:jc w:val="both"/>
        <w:rPr>
          <w:szCs w:val="24"/>
        </w:rPr>
      </w:pPr>
      <w:r w:rsidRPr="00B602F2">
        <w:rPr>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E201F4" w:rsidRPr="00207827" w:rsidRDefault="00E201F4" w:rsidP="0072342E">
      <w:pPr>
        <w:spacing w:after="120"/>
        <w:ind w:firstLine="426"/>
        <w:jc w:val="both"/>
        <w:rPr>
          <w:szCs w:val="24"/>
        </w:rPr>
      </w:pPr>
      <w:r w:rsidRPr="00B602F2">
        <w:rPr>
          <w:szCs w:val="24"/>
        </w:rPr>
        <w:t>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207827" w:rsidRDefault="00E201F4" w:rsidP="0072342E">
      <w:pPr>
        <w:rPr>
          <w:b/>
          <w:szCs w:val="24"/>
          <w:u w:val="single"/>
        </w:rPr>
      </w:pPr>
    </w:p>
    <w:p w:rsidR="00E201F4" w:rsidRPr="007F610B" w:rsidRDefault="001B1FD4" w:rsidP="0072342E">
      <w:pPr>
        <w:rPr>
          <w:b/>
          <w:i/>
          <w:szCs w:val="24"/>
        </w:rPr>
      </w:pPr>
      <w:r w:rsidRPr="007F610B">
        <w:rPr>
          <w:b/>
          <w:i/>
          <w:szCs w:val="24"/>
        </w:rPr>
        <w:t>Облигации,  номинированные в иностранной валюте</w:t>
      </w:r>
      <w:r w:rsidR="003730E0">
        <w:rPr>
          <w:b/>
          <w:i/>
          <w:szCs w:val="24"/>
        </w:rPr>
        <w:t>.</w:t>
      </w:r>
    </w:p>
    <w:p w:rsidR="00E201F4" w:rsidRPr="00B602F2"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E201F4" w:rsidRPr="00B602F2" w:rsidRDefault="00E201F4" w:rsidP="0072342E">
      <w:pPr>
        <w:ind w:firstLine="426"/>
        <w:jc w:val="both"/>
        <w:rPr>
          <w:szCs w:val="24"/>
        </w:rPr>
      </w:pPr>
      <w:r w:rsidRPr="00B602F2">
        <w:rPr>
          <w:szCs w:val="24"/>
        </w:rPr>
        <w:t>Долговая ценная бумага признается аналогом для целей оценки в случае, если одновременно соблюдаются следующие условия:</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валюта обращения аналога совпадает с валютой обращения оцениваемой долговой ценной бумаги;</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47623A">
        <w:rPr>
          <w:rFonts w:ascii="Times New Roman" w:hAnsi="Times New Roman"/>
          <w:sz w:val="24"/>
          <w:szCs w:val="24"/>
        </w:rPr>
        <w:t>;</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относится к той же рейтинговой группе</w:t>
      </w:r>
      <w:r w:rsidR="00391DC8">
        <w:rPr>
          <w:rFonts w:ascii="Times New Roman" w:hAnsi="Times New Roman"/>
          <w:sz w:val="24"/>
          <w:szCs w:val="24"/>
        </w:rPr>
        <w:t>,</w:t>
      </w:r>
      <w:r w:rsidRPr="006D7089">
        <w:rPr>
          <w:rFonts w:ascii="Times New Roman" w:hAnsi="Times New Roman"/>
          <w:sz w:val="24"/>
          <w:szCs w:val="24"/>
        </w:rPr>
        <w:t xml:space="preserve"> что и оцениваемая долговая ценная бумага;</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E201F4" w:rsidRPr="001C2B7D" w:rsidRDefault="00E201F4" w:rsidP="0072342E">
      <w:pPr>
        <w:ind w:firstLine="426"/>
        <w:jc w:val="both"/>
        <w:rPr>
          <w:szCs w:val="24"/>
        </w:rPr>
      </w:pPr>
      <w:r w:rsidRPr="006D7089">
        <w:rPr>
          <w:szCs w:val="24"/>
        </w:rPr>
        <w:t>Долговая ценная бумага может быть отнесена к одной из четырех рейтинговых групп</w:t>
      </w:r>
      <w:r w:rsidRPr="00207827">
        <w:rPr>
          <w:szCs w:val="24"/>
        </w:rPr>
        <w:t xml:space="preserve"> в зависимости от кредитного рейтинга у выпуска долговой ценной бумаги, а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005C5905">
        <w:rPr>
          <w:szCs w:val="24"/>
        </w:rPr>
        <w:t>.</w:t>
      </w:r>
      <w:r w:rsidRPr="00207827">
        <w:rPr>
          <w:szCs w:val="24"/>
        </w:rPr>
        <w:t xml:space="preserve"> </w:t>
      </w:r>
      <w:r w:rsidR="00017218">
        <w:rPr>
          <w:szCs w:val="24"/>
        </w:rPr>
        <w:t>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w:t>
      </w:r>
      <w:r w:rsidR="005C5905">
        <w:rPr>
          <w:szCs w:val="24"/>
        </w:rPr>
        <w:t xml:space="preserve"> </w:t>
      </w:r>
      <w:r w:rsidR="00017218">
        <w:rPr>
          <w:szCs w:val="24"/>
        </w:rPr>
        <w:t>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 xml:space="preserve">. </w:t>
      </w:r>
      <w:r w:rsidRPr="00207827">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w:t>
      </w:r>
      <w:r w:rsidRPr="00B602F2">
        <w:rPr>
          <w:szCs w:val="24"/>
        </w:rPr>
        <w:t>ингов выпуска долговой ценной бумаги и поручителя (гаранта).</w:t>
      </w:r>
    </w:p>
    <w:tbl>
      <w:tblPr>
        <w:tblW w:w="5000" w:type="pct"/>
        <w:jc w:val="center"/>
        <w:tblLook w:val="04A0" w:firstRow="1" w:lastRow="0" w:firstColumn="1" w:lastColumn="0" w:noHBand="0" w:noVBand="1"/>
      </w:tblPr>
      <w:tblGrid>
        <w:gridCol w:w="3482"/>
        <w:gridCol w:w="2523"/>
        <w:gridCol w:w="3508"/>
      </w:tblGrid>
      <w:tr w:rsidR="00D309DF"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w:t>
            </w:r>
          </w:p>
        </w:tc>
      </w:tr>
      <w:tr w:rsidR="00D309DF" w:rsidRPr="00B602F2" w:rsidTr="001C2B7D">
        <w:trPr>
          <w:trHeight w:val="403"/>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w:t>
            </w:r>
          </w:p>
        </w:tc>
      </w:tr>
      <w:tr w:rsidR="00D309DF"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II</w:t>
            </w:r>
          </w:p>
        </w:tc>
      </w:tr>
      <w:tr w:rsidR="00D309DF"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w:t>
            </w:r>
          </w:p>
          <w:p w:rsidR="00D309DF" w:rsidRPr="00B602F2" w:rsidRDefault="00D309DF" w:rsidP="0072342E">
            <w:pPr>
              <w:jc w:val="center"/>
              <w:rPr>
                <w:color w:val="000000"/>
                <w:szCs w:val="24"/>
              </w:rPr>
            </w:pPr>
            <w:r w:rsidRPr="00B602F2">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683B05" w:rsidRDefault="00D309DF"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D309DF" w:rsidRPr="001C2B7D" w:rsidRDefault="00D309DF" w:rsidP="0072342E">
      <w:pPr>
        <w:ind w:firstLine="426"/>
        <w:jc w:val="both"/>
        <w:rPr>
          <w:szCs w:val="24"/>
          <w:lang w:val="en-US"/>
        </w:rPr>
      </w:pPr>
    </w:p>
    <w:p w:rsidR="00E201F4" w:rsidRPr="001C57DA" w:rsidRDefault="00E201F4" w:rsidP="0072342E">
      <w:pPr>
        <w:autoSpaceDE w:val="0"/>
        <w:autoSpaceDN w:val="0"/>
        <w:adjustRightInd w:val="0"/>
        <w:ind w:left="426"/>
        <w:jc w:val="both"/>
        <w:rPr>
          <w:szCs w:val="24"/>
        </w:rPr>
      </w:pPr>
      <w:r w:rsidRPr="00B602F2">
        <w:rPr>
          <w:szCs w:val="24"/>
        </w:rPr>
        <w:t xml:space="preserve">Для целей настоящей методики выделяются следующие </w:t>
      </w:r>
      <w:r w:rsidRPr="006D7089">
        <w:rPr>
          <w:szCs w:val="24"/>
        </w:rPr>
        <w:t>агрегированные секторы</w:t>
      </w:r>
      <w:r w:rsidRPr="00207827">
        <w:rPr>
          <w:szCs w:val="24"/>
        </w:rPr>
        <w:t xml:space="preserve"> </w:t>
      </w:r>
      <w:r w:rsidRPr="006D7089">
        <w:rPr>
          <w:szCs w:val="24"/>
        </w:rPr>
        <w:t>экономики:</w:t>
      </w:r>
      <w:r w:rsidRPr="00207827">
        <w:rPr>
          <w:szCs w:val="24"/>
        </w:rPr>
        <w:t xml:space="preserve">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финансовый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сектор региональных и муниципальных выпусков;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корпоративный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сектор государственных ценных бумаг.</w:t>
      </w:r>
    </w:p>
    <w:p w:rsidR="00E201F4" w:rsidRPr="00207827" w:rsidRDefault="00E201F4" w:rsidP="0072342E">
      <w:pPr>
        <w:autoSpaceDE w:val="0"/>
        <w:autoSpaceDN w:val="0"/>
        <w:adjustRightInd w:val="0"/>
        <w:ind w:left="426"/>
        <w:jc w:val="both"/>
        <w:rPr>
          <w:szCs w:val="24"/>
        </w:rPr>
      </w:pPr>
      <w:r w:rsidRPr="00207827">
        <w:rPr>
          <w:szCs w:val="24"/>
        </w:rPr>
        <w:t>Кредитный спред по каждому аналогу рассчитывается в следующем порядке:</w:t>
      </w:r>
    </w:p>
    <w:p w:rsidR="00E201F4" w:rsidRPr="00B602F2" w:rsidRDefault="00E201F4" w:rsidP="0072342E">
      <w:pPr>
        <w:autoSpaceDE w:val="0"/>
        <w:autoSpaceDN w:val="0"/>
        <w:adjustRightInd w:val="0"/>
        <w:ind w:left="426"/>
        <w:jc w:val="both"/>
        <w:rPr>
          <w:szCs w:val="24"/>
        </w:rPr>
      </w:pPr>
    </w:p>
    <w:p w:rsidR="00E201F4" w:rsidRPr="00207827" w:rsidRDefault="001C1A88" w:rsidP="0072342E">
      <w:pPr>
        <w:autoSpaceDE w:val="0"/>
        <w:autoSpaceDN w:val="0"/>
        <w:adjustRightInd w:val="0"/>
        <w:ind w:left="426"/>
        <w:jc w:val="both"/>
        <w:rPr>
          <w:i/>
          <w:szCs w:val="24"/>
          <w:lang w:val="en-US"/>
        </w:rPr>
      </w:pPr>
      <m:oMathPara>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p w:rsidR="00E201F4" w:rsidRPr="00207827" w:rsidRDefault="00E201F4" w:rsidP="0072342E">
      <w:pPr>
        <w:autoSpaceDE w:val="0"/>
        <w:autoSpaceDN w:val="0"/>
        <w:adjustRightInd w:val="0"/>
        <w:ind w:left="426"/>
        <w:jc w:val="both"/>
        <w:rPr>
          <w:szCs w:val="24"/>
        </w:rPr>
      </w:pPr>
      <w:r w:rsidRPr="00207827">
        <w:rPr>
          <w:szCs w:val="24"/>
        </w:rPr>
        <w:t>где,</w:t>
      </w:r>
    </w:p>
    <w:p w:rsidR="00E201F4" w:rsidRPr="00207827" w:rsidRDefault="001C1A88" w:rsidP="0072342E">
      <w:pPr>
        <w:autoSpaceDE w:val="0"/>
        <w:autoSpaceDN w:val="0"/>
        <w:adjustRightInd w:val="0"/>
        <w:ind w:left="426"/>
        <w:jc w:val="both"/>
        <w:rPr>
          <w:szCs w:val="24"/>
        </w:rPr>
      </w:pPr>
      <m:oMath>
        <m:sSub>
          <m:sSubPr>
            <m:ctrlPr>
              <w:rPr>
                <w:rFonts w:ascii="Cambria Math" w:hAnsi="Cambria Math"/>
                <w:szCs w:val="24"/>
              </w:rPr>
            </m:ctrlPr>
          </m:sSubPr>
          <m:e>
            <m:r>
              <w:rPr>
                <w:rFonts w:ascii="Cambria Math" w:hAnsi="Cambria Math"/>
                <w:szCs w:val="24"/>
              </w:rPr>
              <m:t>YTM</m:t>
            </m:r>
          </m:e>
          <m:sub>
            <m:r>
              <w:rPr>
                <w:rFonts w:ascii="Cambria Math" w:hAnsi="Cambria Math"/>
                <w:szCs w:val="24"/>
              </w:rPr>
              <m:t>i</m:t>
            </m:r>
          </m:sub>
        </m:sSub>
      </m:oMath>
      <w:r w:rsidR="00E201F4" w:rsidRPr="00207827">
        <w:rPr>
          <w:szCs w:val="24"/>
        </w:rPr>
        <w:t xml:space="preserve"> – доходность к погашению/оферте i-ого аналога по цене закрытия;</w:t>
      </w:r>
    </w:p>
    <w:p w:rsidR="00E201F4" w:rsidRPr="00207827" w:rsidRDefault="001C1A88" w:rsidP="0072342E">
      <w:pPr>
        <w:ind w:left="426"/>
        <w:jc w:val="both"/>
        <w:rPr>
          <w:szCs w:val="24"/>
        </w:rPr>
      </w:pPr>
      <m:oMath>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oMath>
      <w:r w:rsidR="00E201F4" w:rsidRPr="00207827">
        <w:rPr>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E201F4" w:rsidRPr="006D7089" w:rsidRDefault="00E201F4" w:rsidP="0072342E">
      <w:pPr>
        <w:ind w:firstLine="426"/>
        <w:jc w:val="both"/>
        <w:rPr>
          <w:szCs w:val="24"/>
        </w:rPr>
      </w:pPr>
      <w:r w:rsidRPr="00207827">
        <w:rPr>
          <w:szCs w:val="24"/>
        </w:rPr>
        <w:t>Медианный кредитный спр</w:t>
      </w:r>
      <w:r w:rsidRPr="00B47CC0">
        <w:rPr>
          <w:szCs w:val="24"/>
        </w:rPr>
        <w:t>е</w:t>
      </w:r>
      <w:r w:rsidRPr="00B602F2">
        <w:rPr>
          <w:szCs w:val="24"/>
        </w:rPr>
        <w:t xml:space="preserve">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CrSpread</m:t>
            </m:r>
          </m:e>
          <m:sub>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953C10" w:rsidRDefault="00953C10" w:rsidP="0072342E">
      <w:pPr>
        <w:ind w:firstLine="426"/>
        <w:jc w:val="both"/>
        <w:rPr>
          <w:szCs w:val="24"/>
        </w:rPr>
      </w:pPr>
    </w:p>
    <w:p w:rsidR="00ED16C2" w:rsidRPr="00B602F2" w:rsidRDefault="001B1FD4" w:rsidP="0072342E">
      <w:pPr>
        <w:ind w:firstLine="426"/>
        <w:jc w:val="both"/>
        <w:rPr>
          <w:b/>
          <w:szCs w:val="24"/>
        </w:rPr>
      </w:pPr>
      <w:r w:rsidRPr="00207827">
        <w:rPr>
          <w:szCs w:val="24"/>
        </w:rPr>
        <w:t xml:space="preserve">В случае </w:t>
      </w:r>
      <w:r w:rsidR="00ED16C2" w:rsidRPr="00207827">
        <w:rPr>
          <w:szCs w:val="24"/>
        </w:rPr>
        <w:t>невозможности опреде</w:t>
      </w:r>
      <w:r w:rsidR="001B59B4" w:rsidRPr="00207827">
        <w:rPr>
          <w:szCs w:val="24"/>
        </w:rPr>
        <w:t>лить цену по предыдущему методу</w:t>
      </w:r>
      <w:r w:rsidR="00391DC8">
        <w:rPr>
          <w:szCs w:val="24"/>
        </w:rPr>
        <w:t>,</w:t>
      </w:r>
      <w:r w:rsidR="001B59B4" w:rsidRPr="00207827">
        <w:rPr>
          <w:szCs w:val="24"/>
        </w:rPr>
        <w:t xml:space="preserve"> и облигации номиниро</w:t>
      </w:r>
      <w:r w:rsidR="001B59B4" w:rsidRPr="00B602F2">
        <w:rPr>
          <w:szCs w:val="24"/>
        </w:rPr>
        <w:t xml:space="preserve">ваны в долларах США. </w:t>
      </w:r>
      <w:r w:rsidR="00ED16C2" w:rsidRPr="00B602F2">
        <w:rPr>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D16C2" w:rsidRPr="00207827" w:rsidRDefault="00ED16C2" w:rsidP="0072342E">
      <w:pPr>
        <w:jc w:val="center"/>
        <w:rPr>
          <w:color w:val="0D0D0D"/>
          <w:szCs w:val="24"/>
        </w:rPr>
      </w:pPr>
      <w:r w:rsidRPr="00207827">
        <w:rPr>
          <w:noProof/>
          <w:position w:val="-30"/>
          <w:szCs w:val="24"/>
        </w:rPr>
        <w:object w:dxaOrig="2900" w:dyaOrig="700" w14:anchorId="664DD01C">
          <v:shape id="_x0000_i1073" type="#_x0000_t75" style="width:144.75pt;height:34.5pt" o:ole="">
            <v:imagedata r:id="rId84" o:title=""/>
          </v:shape>
          <o:OLEObject Type="Embed" ProgID="Equation.3" ShapeID="_x0000_i1073" DrawAspect="Content" ObjectID="_1719229836" r:id="rId87"/>
        </w:object>
      </w:r>
    </w:p>
    <w:p w:rsidR="00ED16C2" w:rsidRPr="00B602F2" w:rsidRDefault="00ED16C2"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w:t>
      </w:r>
      <w:r w:rsidRPr="00B602F2">
        <w:rPr>
          <w:szCs w:val="24"/>
        </w:rPr>
        <w:t>праведливая стоимость облигации</w:t>
      </w:r>
      <w:r w:rsidR="00CB264C">
        <w:rPr>
          <w:szCs w:val="24"/>
        </w:rPr>
        <w:t xml:space="preserve"> (</w:t>
      </w:r>
      <w:r w:rsidR="00CB264C" w:rsidRPr="005D23D0">
        <w:rPr>
          <w:szCs w:val="24"/>
          <w:shd w:val="clear" w:color="auto" w:fill="FFFFFF"/>
        </w:rPr>
        <w:t>включая НКД)</w:t>
      </w:r>
      <w:r w:rsidRPr="00B602F2">
        <w:rPr>
          <w:szCs w:val="24"/>
        </w:rPr>
        <w:t>;</w:t>
      </w:r>
    </w:p>
    <w:p w:rsidR="00ED16C2" w:rsidRPr="00B602F2" w:rsidRDefault="00ED16C2" w:rsidP="0072342E">
      <w:pPr>
        <w:jc w:val="both"/>
        <w:rPr>
          <w:szCs w:val="24"/>
        </w:rPr>
      </w:pPr>
      <w:r w:rsidRPr="00B602F2">
        <w:rPr>
          <w:szCs w:val="24"/>
          <w:lang w:val="en-US"/>
        </w:rPr>
        <w:t>i</w:t>
      </w:r>
      <w:r w:rsidRPr="00B602F2">
        <w:rPr>
          <w:szCs w:val="24"/>
        </w:rPr>
        <w:t xml:space="preserve"> – порядковый номер денежного потока;</w:t>
      </w:r>
    </w:p>
    <w:p w:rsidR="00ED16C2" w:rsidRPr="00D817A7" w:rsidRDefault="00ED16C2"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w:t>
      </w:r>
      <w:r w:rsidRPr="00D817A7">
        <w:rPr>
          <w:szCs w:val="24"/>
        </w:rPr>
        <w:t xml:space="preserve">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8E1ACE"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r w:rsidRPr="00D817A7">
        <w:rPr>
          <w:szCs w:val="24"/>
          <w:lang w:val="en-US"/>
        </w:rPr>
        <w:t>r</w:t>
      </w:r>
      <w:r w:rsidRPr="00D817A7">
        <w:rPr>
          <w:szCs w:val="24"/>
        </w:rPr>
        <w:t xml:space="preserve">i– ставка </w:t>
      </w:r>
      <w:r w:rsidRPr="00D817A7">
        <w:rPr>
          <w:szCs w:val="24"/>
          <w:lang w:val="en-US"/>
        </w:rPr>
        <w:t>LIBOR</w:t>
      </w:r>
      <w:r w:rsidRPr="00D817A7">
        <w:rPr>
          <w:szCs w:val="24"/>
        </w:rPr>
        <w:t xml:space="preserve">, наиболее близкая к сроку погашения облигации, или значение на кривой доходностей </w:t>
      </w:r>
      <w:r w:rsidRPr="00D817A7">
        <w:rPr>
          <w:szCs w:val="24"/>
          <w:lang w:val="en-US"/>
        </w:rPr>
        <w:t>US</w:t>
      </w:r>
      <w:r w:rsidRPr="00D817A7">
        <w:rPr>
          <w:szCs w:val="24"/>
        </w:rPr>
        <w:t xml:space="preserve"> </w:t>
      </w:r>
      <w:r w:rsidRPr="00D817A7">
        <w:rPr>
          <w:szCs w:val="24"/>
          <w:lang w:val="en-US"/>
        </w:rPr>
        <w:t>Treasures</w:t>
      </w:r>
      <w:r w:rsidRPr="00D817A7">
        <w:rPr>
          <w:szCs w:val="24"/>
        </w:rPr>
        <w:t xml:space="preserve"> наиболее близкая к сроку погашения облигации;</w:t>
      </w:r>
    </w:p>
    <w:p w:rsidR="00ED16C2" w:rsidRPr="00D817A7" w:rsidRDefault="00ED16C2" w:rsidP="0072342E">
      <w:pPr>
        <w:jc w:val="both"/>
        <w:rPr>
          <w:szCs w:val="24"/>
        </w:rPr>
      </w:pPr>
      <w:r w:rsidRPr="00D817A7">
        <w:rPr>
          <w:szCs w:val="24"/>
          <w:lang w:val="en-US"/>
        </w:rPr>
        <w:t>CrSpread</w:t>
      </w:r>
      <w:r w:rsidRPr="00D817A7">
        <w:rPr>
          <w:szCs w:val="24"/>
        </w:rPr>
        <w:t xml:space="preserve"> – кредитный спред облигационного индекса (расчет приведен ниже);</w:t>
      </w:r>
    </w:p>
    <w:p w:rsidR="00ED16C2" w:rsidRPr="00D817A7" w:rsidRDefault="00ED16C2" w:rsidP="0072342E">
      <w:pPr>
        <w:jc w:val="both"/>
        <w:rPr>
          <w:szCs w:val="24"/>
        </w:rPr>
      </w:pPr>
      <w:r w:rsidRPr="00D817A7">
        <w:rPr>
          <w:szCs w:val="24"/>
        </w:rPr>
        <w:t>ti</w:t>
      </w:r>
      <w:r w:rsidRPr="00D817A7">
        <w:rPr>
          <w:szCs w:val="24"/>
        </w:rPr>
        <w:noBreakHyphen/>
        <w:t xml:space="preserve"> – срок до выплаты i-го денежного потока в годах (в качестве базы расчета используется 365 дней)</w:t>
      </w:r>
    </w:p>
    <w:p w:rsidR="00ED16C2" w:rsidRPr="00CC3A0D" w:rsidRDefault="00ED16C2" w:rsidP="00CC3A0D">
      <w:pPr>
        <w:rPr>
          <w:color w:val="1F497D"/>
        </w:rPr>
      </w:pPr>
      <w:r w:rsidRPr="00D817A7">
        <w:rPr>
          <w:szCs w:val="24"/>
        </w:rPr>
        <w:t>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w:t>
      </w:r>
      <w:r w:rsidRPr="00B602F2">
        <w:rPr>
          <w:szCs w:val="24"/>
        </w:rPr>
        <w:t xml:space="preserve"> преддефолтным рейтингом в составе отчета (Источник: </w:t>
      </w:r>
      <w:hyperlink r:id="rId88" w:history="1"/>
      <w:r w:rsidR="002500AB">
        <w:rPr>
          <w:rStyle w:val="a7"/>
          <w:szCs w:val="24"/>
        </w:rPr>
        <w:t xml:space="preserve"> </w:t>
      </w:r>
      <w:hyperlink r:id="rId89" w:history="1">
        <w:r w:rsidR="002500AB">
          <w:rPr>
            <w:rStyle w:val="a7"/>
          </w:rPr>
          <w:t>https://www.spglobal.com/ratings/en/research/articles/220413-default-transition-and-recovery-2021-annual-global-corporate-default-and-rating-transition-study-12336975</w:t>
        </w:r>
      </w:hyperlink>
      <w:r w:rsidRPr="00207827">
        <w:rPr>
          <w:szCs w:val="24"/>
        </w:rPr>
        <w:t>, таблица 9).</w:t>
      </w:r>
    </w:p>
    <w:p w:rsidR="00ED16C2" w:rsidRPr="00B602F2" w:rsidRDefault="00ED16C2" w:rsidP="0072342E">
      <w:pPr>
        <w:ind w:firstLine="426"/>
        <w:jc w:val="both"/>
        <w:rPr>
          <w:szCs w:val="24"/>
        </w:rPr>
      </w:pPr>
      <w:r w:rsidRPr="00207827">
        <w:rPr>
          <w:szCs w:val="24"/>
        </w:rPr>
        <w:t>Справедливая стоимость облигаций, полученная в результате данного</w:t>
      </w:r>
      <w:r w:rsidRPr="00B47CC0">
        <w:rPr>
          <w:szCs w:val="24"/>
        </w:rPr>
        <w:t xml:space="preserve"> метода расчета, округляется до двух знаков после запятой, с применением правил математического округления.</w:t>
      </w:r>
    </w:p>
    <w:p w:rsidR="00ED16C2" w:rsidRDefault="00ED16C2"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xml:space="preserve">) в зависимости от кредитного рейтинга у выпуска долговой ценной бумаги, а в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B602F2">
        <w:rPr>
          <w:szCs w:val="24"/>
        </w:rPr>
        <w:t>, долговая ценная бумага может быть отнесена к одной из четырех рейтинговых групп.</w:t>
      </w:r>
      <w:r w:rsidR="00017218">
        <w:rPr>
          <w:szCs w:val="24"/>
        </w:rPr>
        <w:t xml:space="preserve"> 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 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w:t>
      </w:r>
      <w:r w:rsidRPr="00B602F2">
        <w:rPr>
          <w:szCs w:val="24"/>
        </w:rPr>
        <w:t xml:space="preserve">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p w:rsidR="007A3DE0" w:rsidRDefault="007A3DE0" w:rsidP="0072342E">
      <w:pPr>
        <w:spacing w:after="120"/>
        <w:ind w:firstLine="426"/>
        <w:jc w:val="both"/>
        <w:rPr>
          <w:szCs w:val="24"/>
        </w:rPr>
      </w:pPr>
    </w:p>
    <w:p w:rsidR="007A3DE0" w:rsidRDefault="007A3DE0" w:rsidP="0072342E">
      <w:pPr>
        <w:spacing w:after="120"/>
        <w:ind w:firstLine="426"/>
        <w:jc w:val="both"/>
        <w:rPr>
          <w:szCs w:val="24"/>
        </w:rPr>
      </w:pPr>
    </w:p>
    <w:p w:rsidR="00F115D7" w:rsidRPr="00B602F2" w:rsidRDefault="00F115D7" w:rsidP="0072342E">
      <w:pPr>
        <w:spacing w:after="120"/>
        <w:ind w:firstLine="426"/>
        <w:jc w:val="both"/>
        <w:rPr>
          <w:szCs w:val="24"/>
        </w:rPr>
      </w:pPr>
    </w:p>
    <w:tbl>
      <w:tblPr>
        <w:tblW w:w="5000" w:type="pct"/>
        <w:jc w:val="center"/>
        <w:tblLook w:val="04A0" w:firstRow="1" w:lastRow="0" w:firstColumn="1" w:lastColumn="0" w:noHBand="0" w:noVBand="1"/>
      </w:tblPr>
      <w:tblGrid>
        <w:gridCol w:w="3482"/>
        <w:gridCol w:w="2523"/>
        <w:gridCol w:w="3508"/>
      </w:tblGrid>
      <w:tr w:rsidR="001E2F4E"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w:t>
            </w:r>
          </w:p>
        </w:tc>
      </w:tr>
      <w:tr w:rsidR="001E2F4E" w:rsidRPr="00B602F2" w:rsidTr="007F38DF">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w:t>
            </w:r>
          </w:p>
        </w:tc>
      </w:tr>
      <w:tr w:rsidR="001E2F4E"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II</w:t>
            </w:r>
          </w:p>
        </w:tc>
      </w:tr>
      <w:tr w:rsidR="001E2F4E"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w:t>
            </w:r>
          </w:p>
          <w:p w:rsidR="001E2F4E" w:rsidRPr="00B602F2" w:rsidRDefault="001E2F4E" w:rsidP="009E392C">
            <w:pPr>
              <w:jc w:val="center"/>
              <w:rPr>
                <w:color w:val="000000"/>
                <w:szCs w:val="24"/>
              </w:rPr>
            </w:pPr>
            <w:r w:rsidRPr="00B602F2">
              <w:rPr>
                <w:color w:val="000000"/>
                <w:szCs w:val="24"/>
              </w:rPr>
              <w:t>ru</w:t>
            </w:r>
            <w:r w:rsidR="009E392C">
              <w:rPr>
                <w:color w:val="000000"/>
                <w:szCs w:val="24"/>
              </w:rPr>
              <w:t>ВВ</w:t>
            </w:r>
            <w:r w:rsidRPr="00B602F2">
              <w:rPr>
                <w:color w:val="000000"/>
                <w:szCs w:val="24"/>
              </w:rPr>
              <w:t>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683B05" w:rsidRDefault="001E2F4E"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1E2F4E" w:rsidRPr="001C2B7D" w:rsidRDefault="001E2F4E" w:rsidP="0072342E">
      <w:pPr>
        <w:spacing w:after="120"/>
        <w:rPr>
          <w:szCs w:val="24"/>
          <w:lang w:val="en-US"/>
        </w:rPr>
      </w:pPr>
    </w:p>
    <w:p w:rsidR="00ED16C2" w:rsidRPr="00B602F2" w:rsidRDefault="00ED16C2"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91DC8">
        <w:rPr>
          <w:szCs w:val="24"/>
        </w:rPr>
        <w:t>,</w:t>
      </w:r>
      <w:r w:rsidRPr="00B602F2">
        <w:rPr>
          <w:szCs w:val="24"/>
        </w:rPr>
        <w:t xml:space="preserve"> включая дату определения справедливой стоимости.</w:t>
      </w:r>
    </w:p>
    <w:p w:rsidR="00ED16C2" w:rsidRPr="00B602F2" w:rsidRDefault="00ED16C2" w:rsidP="0072342E">
      <w:pPr>
        <w:spacing w:after="120"/>
        <w:ind w:firstLine="426"/>
        <w:jc w:val="both"/>
        <w:rPr>
          <w:szCs w:val="24"/>
        </w:rPr>
      </w:pPr>
      <w:r w:rsidRPr="00B602F2">
        <w:rPr>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B602F2">
        <w:rPr>
          <w:szCs w:val="24"/>
          <w:lang w:val="en-US"/>
        </w:rPr>
        <w:t>Cbonds</w:t>
      </w:r>
      <w:r w:rsidRPr="00B602F2">
        <w:rPr>
          <w:szCs w:val="24"/>
        </w:rPr>
        <w:t xml:space="preserve"> раскрываемых по итогам каждого торгового дня:</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Индекс государственных облигаций Euro-Cbonds Sovereign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lang w:val="en-US"/>
        </w:rPr>
      </w:pPr>
      <w:r w:rsidRPr="006D7089">
        <w:rPr>
          <w:rFonts w:ascii="Times New Roman" w:hAnsi="Times New Roman"/>
          <w:sz w:val="24"/>
          <w:szCs w:val="24"/>
          <w:lang w:val="en-US"/>
        </w:rPr>
        <w:t>Рейтинговая группа I - Euro-Cbonds IG 3Y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lang w:val="en-US"/>
        </w:rPr>
        <w:t xml:space="preserve">Рейтинговая группа II - </w:t>
      </w:r>
      <w:r w:rsidR="001B59B4" w:rsidRPr="006D7089">
        <w:rPr>
          <w:rFonts w:ascii="Times New Roman" w:hAnsi="Times New Roman"/>
          <w:sz w:val="24"/>
          <w:szCs w:val="24"/>
          <w:lang w:val="en-US"/>
        </w:rPr>
        <w:t>Euro-Cbonds Russia BB+/Ba1</w:t>
      </w:r>
    </w:p>
    <w:p w:rsidR="00ED16C2"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w:t>
      </w:r>
      <w:r w:rsidR="001B59B4" w:rsidRPr="006D7089">
        <w:rPr>
          <w:rFonts w:ascii="Times New Roman" w:hAnsi="Times New Roman"/>
          <w:sz w:val="24"/>
          <w:szCs w:val="24"/>
        </w:rPr>
        <w:t>- Euro-Cbonds NIG Russia</w:t>
      </w:r>
    </w:p>
    <w:p w:rsidR="00ED16C2" w:rsidRPr="00B602F2" w:rsidRDefault="00ED16C2" w:rsidP="0072342E">
      <w:pPr>
        <w:spacing w:after="120"/>
        <w:ind w:firstLine="426"/>
        <w:jc w:val="both"/>
        <w:rPr>
          <w:szCs w:val="24"/>
        </w:rPr>
      </w:pPr>
      <w:r w:rsidRPr="00207827">
        <w:rPr>
          <w:szCs w:val="24"/>
        </w:rPr>
        <w:t>Расчет кредитного спреда для рейтинговых групп осуще</w:t>
      </w:r>
      <w:r w:rsidR="001B59B4" w:rsidRPr="00207827">
        <w:rPr>
          <w:szCs w:val="24"/>
        </w:rPr>
        <w:t>ствляется аналогично расчетам для облигаций, но</w:t>
      </w:r>
      <w:r w:rsidR="001B59B4" w:rsidRPr="00B47CC0">
        <w:rPr>
          <w:szCs w:val="24"/>
        </w:rPr>
        <w:t>минированных в рублях, но с использованием вышеуказанных индексов.</w:t>
      </w: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8)</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1C1A88"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1C1A88"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1C1A88"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1C1A88"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с использованием ставки ЭСП, которая так же проверяется на рыночность (Приложение 8)</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1C1A88"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1C1A88"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1C1A88"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1C1A88"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1C2B7D">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8)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8)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1C1A88"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1C1A88"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1C1A88"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1C1A88"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r w:rsidR="00EA72B7" w:rsidRPr="00EA72B7">
        <w:rPr>
          <w:szCs w:val="24"/>
        </w:rPr>
        <w:t>(Приложение 8)</w:t>
      </w:r>
    </w:p>
    <w:p w:rsidR="000E058F" w:rsidRDefault="000E058F" w:rsidP="0072342E">
      <w:pPr>
        <w:ind w:firstLine="426"/>
        <w:rPr>
          <w:szCs w:val="24"/>
        </w:rPr>
      </w:pPr>
    </w:p>
    <w:p w:rsidR="000E058F" w:rsidRDefault="001C1A88"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1C1A88"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1C1A88"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1C1A88"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1C1A88"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1C1A88"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1C1A88"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1C1A88"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1C1A88"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1C1A88"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1C1A88"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1"/>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2"/>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MosPrime</w:t>
      </w:r>
      <w:r w:rsidRPr="00906E53">
        <w:rPr>
          <w:rFonts w:ascii="Times New Roman" w:hAnsi="Times New Roman"/>
          <w:sz w:val="24"/>
          <w:szCs w:val="24"/>
        </w:rPr>
        <w:t xml:space="preserve"> – для задолженности, срок погашения которой не превышает 6 месяцев;</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MosPrime/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MosPrime;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3"/>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4"/>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5"/>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6"/>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1C1A88"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1C1A88"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7"/>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8"/>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9"/>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0"/>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410"/>
        <w:gridCol w:w="2110"/>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1"/>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2"/>
            </w:r>
            <w:r w:rsidRPr="00DA7256">
              <w:t xml:space="preserve"> </w:t>
            </w:r>
          </w:p>
        </w:tc>
        <w:tc>
          <w:tcPr>
            <w:tcW w:w="1108" w:type="pct"/>
          </w:tcPr>
          <w:p w:rsidR="00AB247E" w:rsidRPr="00EA21F0" w:rsidRDefault="00AB247E" w:rsidP="001C2B7D">
            <w:pPr>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C2B7D">
            <w:pPr>
              <w:pStyle w:val="a5"/>
              <w:numPr>
                <w:ilvl w:val="0"/>
                <w:numId w:val="225"/>
              </w:numPr>
              <w:spacing w:line="240" w:lineRule="auto"/>
              <w:jc w:val="center"/>
              <w:rPr>
                <w:color w:val="000000"/>
              </w:rPr>
            </w:pPr>
            <w:r w:rsidRPr="00AB247E">
              <w:t xml:space="preserve">ней </w:t>
            </w:r>
          </w:p>
        </w:tc>
      </w:tr>
    </w:tbl>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справедливая стоимость актива определяется в соответствии с Формулой 2, при этом PD(T(n)) принимаются равными 1. </w:t>
      </w:r>
    </w:p>
    <w:p w:rsidR="00363749" w:rsidRDefault="00242A29" w:rsidP="0072342E">
      <w:pPr>
        <w:jc w:val="both"/>
        <w:rPr>
          <w:color w:val="000000"/>
        </w:rPr>
      </w:pP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3"/>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4C6C12" w:rsidRDefault="00A12D3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560B3F" w:rsidRPr="001C2B7D" w:rsidRDefault="00F013E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00560B3F" w:rsidRPr="00950497">
        <w:rPr>
          <w:rFonts w:ascii="Times New Roman" w:hAnsi="Times New Roman"/>
          <w:sz w:val="24"/>
          <w:szCs w:val="24"/>
        </w:rPr>
        <w:t>В случае наличия у контрагента рейтинга одного из российских рейтинговых агентств</w:t>
      </w:r>
      <w:r w:rsidR="00560B3F" w:rsidRPr="001C2B7D">
        <w:rPr>
          <w:rFonts w:ascii="Times New Roman" w:hAnsi="Times New Roman"/>
          <w:sz w:val="24"/>
          <w:szCs w:val="24"/>
        </w:rPr>
        <w:t xml:space="preserve"> применяется значение PD от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через сопоставление рейтингов. При этом в</w:t>
      </w:r>
      <w:r w:rsidR="00560B3F" w:rsidRPr="009438E4">
        <w:t xml:space="preserve"> </w:t>
      </w:r>
      <w:r w:rsidR="00560B3F" w:rsidRPr="00950497">
        <w:rPr>
          <w:rFonts w:ascii="Times New Roman" w:hAnsi="Times New Roman"/>
          <w:sz w:val="24"/>
          <w:szCs w:val="24"/>
        </w:rPr>
        <w:t>случае наличия нескольких</w:t>
      </w:r>
      <w:r w:rsidR="00560B3F" w:rsidRPr="001C2B7D">
        <w:rPr>
          <w:rFonts w:ascii="Times New Roman" w:hAnsi="Times New Roman"/>
          <w:sz w:val="24"/>
          <w:szCs w:val="24"/>
        </w:rPr>
        <w:t xml:space="preserve">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В случае необходимости провести сопоставление рейтингов </w:t>
      </w:r>
      <w:r w:rsidR="00560B3F" w:rsidRPr="001C2B7D">
        <w:rPr>
          <w:rFonts w:ascii="Times New Roman" w:hAnsi="Times New Roman"/>
          <w:sz w:val="24"/>
          <w:szCs w:val="24"/>
          <w:lang w:eastAsia="ru-RU"/>
        </w:rPr>
        <w:t xml:space="preserve">ООО «НКР» и ООО «НРА» с </w:t>
      </w:r>
      <w:r w:rsidR="00560B3F" w:rsidRPr="001C2B7D">
        <w:rPr>
          <w:rFonts w:ascii="Times New Roman" w:hAnsi="Times New Roman"/>
          <w:sz w:val="24"/>
          <w:szCs w:val="24"/>
        </w:rPr>
        <w:t xml:space="preserve">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1C2B7D">
        <w:rPr>
          <w:rFonts w:ascii="Times New Roman" w:hAnsi="Times New Roman"/>
          <w:sz w:val="24"/>
          <w:szCs w:val="24"/>
          <w:lang w:val="en-US"/>
        </w:rPr>
        <w:t>P</w:t>
      </w:r>
      <w:r w:rsidR="00560B3F" w:rsidRPr="001C2B7D">
        <w:rPr>
          <w:rFonts w:ascii="Times New Roman" w:hAnsi="Times New Roman"/>
          <w:sz w:val="24"/>
          <w:szCs w:val="24"/>
        </w:rPr>
        <w:t xml:space="preserve">’s сопоставление осуществляется через </w:t>
      </w:r>
      <w:r w:rsidR="00560B3F" w:rsidRPr="001C2B7D">
        <w:rPr>
          <w:rFonts w:ascii="Times New Roman" w:hAnsi="Times New Roman"/>
          <w:sz w:val="24"/>
          <w:szCs w:val="24"/>
          <w:lang w:eastAsia="ru-RU"/>
        </w:rPr>
        <w:t xml:space="preserve">рейтинги </w:t>
      </w:r>
      <w:r w:rsidR="00560B3F" w:rsidRPr="001C2B7D">
        <w:rPr>
          <w:rFonts w:ascii="Times New Roman" w:hAnsi="Times New Roman"/>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p>
    <w:p w:rsidR="00F013EC" w:rsidRPr="00560B3F" w:rsidRDefault="00DE5136" w:rsidP="001C2B7D">
      <w:pPr>
        <w:pStyle w:val="a5"/>
        <w:keepNext/>
        <w:spacing w:after="0" w:line="240" w:lineRule="auto"/>
        <w:ind w:left="0"/>
        <w:jc w:val="right"/>
        <w:rPr>
          <w:rFonts w:ascii="Times New Roman" w:hAnsi="Times New Roman"/>
          <w:sz w:val="20"/>
          <w:szCs w:val="20"/>
        </w:rPr>
      </w:pPr>
      <w:r w:rsidRPr="004C6C12">
        <w:rPr>
          <w:rFonts w:ascii="Times New Roman" w:hAnsi="Times New Roman"/>
          <w:color w:val="000000"/>
          <w:sz w:val="24"/>
          <w:szCs w:val="24"/>
        </w:rPr>
        <w:t xml:space="preserve">  </w:t>
      </w:r>
      <w:r w:rsidR="00F013EC" w:rsidRPr="00560B3F">
        <w:rPr>
          <w:rFonts w:ascii="Times New Roman" w:eastAsia="MS Mincho" w:hAnsi="Times New Roman"/>
          <w:sz w:val="20"/>
          <w:szCs w:val="20"/>
        </w:rPr>
        <w:t xml:space="preserve"> </w:t>
      </w:r>
    </w:p>
    <w:tbl>
      <w:tblPr>
        <w:tblW w:w="0" w:type="auto"/>
        <w:tblLook w:val="04A0" w:firstRow="1" w:lastRow="0" w:firstColumn="1" w:lastColumn="0" w:noHBand="0" w:noVBand="1"/>
      </w:tblPr>
      <w:tblGrid>
        <w:gridCol w:w="2183"/>
        <w:gridCol w:w="1566"/>
        <w:gridCol w:w="2171"/>
        <w:gridCol w:w="3593"/>
      </w:tblGrid>
      <w:tr w:rsidR="00887290" w:rsidRPr="004D26AD" w:rsidTr="001C2B7D">
        <w:trPr>
          <w:trHeight w:val="383"/>
        </w:trPr>
        <w:tc>
          <w:tcPr>
            <w:tcW w:w="0" w:type="auto"/>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Рейтинговая группа</w:t>
            </w:r>
          </w:p>
        </w:tc>
        <w:tc>
          <w:tcPr>
            <w:tcW w:w="3855" w:type="dxa"/>
            <w:gridSpan w:val="2"/>
            <w:tcBorders>
              <w:top w:val="single" w:sz="4" w:space="0" w:color="auto"/>
              <w:left w:val="single" w:sz="4" w:space="0" w:color="auto"/>
              <w:bottom w:val="single" w:sz="4" w:space="0" w:color="auto"/>
              <w:right w:val="single" w:sz="4" w:space="0" w:color="auto"/>
            </w:tcBorders>
            <w:vAlign w:val="center"/>
            <w:hideMark/>
          </w:tcPr>
          <w:p w:rsidR="00887290" w:rsidRPr="001C2B7D" w:rsidRDefault="00887290" w:rsidP="001C2B7D">
            <w:pPr>
              <w:pStyle w:val="Default"/>
              <w:jc w:val="center"/>
            </w:pPr>
            <w:r w:rsidRPr="001C2B7D">
              <w:t>Рейтинги кредитных рейтинговых агентств</w:t>
            </w:r>
          </w:p>
        </w:tc>
        <w:tc>
          <w:tcPr>
            <w:tcW w:w="3593" w:type="dxa"/>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Вероятность дефолта PD</w:t>
            </w:r>
            <w:r w:rsidRPr="001C2B7D">
              <w:rPr>
                <w:rStyle w:val="af"/>
              </w:rPr>
              <w:footnoteReference w:id="14"/>
            </w:r>
            <w:r w:rsidRPr="001C2B7D">
              <w:t xml:space="preserve"> по шкале S&amp;P</w:t>
            </w:r>
            <w:r w:rsidR="00F269A5" w:rsidRPr="001C2B7D">
              <w:t>’</w:t>
            </w:r>
            <w:r w:rsidR="00F269A5" w:rsidRPr="001C2B7D">
              <w:rPr>
                <w:lang w:val="en-US"/>
              </w:rPr>
              <w:t>s</w:t>
            </w:r>
            <w:r w:rsidRPr="001C2B7D">
              <w:t>, %</w:t>
            </w:r>
          </w:p>
        </w:tc>
      </w:tr>
      <w:tr w:rsidR="00F72521" w:rsidRPr="004D26AD" w:rsidTr="001C2B7D">
        <w:trPr>
          <w:trHeight w:val="233"/>
        </w:trPr>
        <w:tc>
          <w:tcPr>
            <w:tcW w:w="0" w:type="auto"/>
            <w:vMerge/>
            <w:tcBorders>
              <w:left w:val="single" w:sz="4" w:space="0" w:color="auto"/>
              <w:bottom w:val="single" w:sz="4" w:space="0" w:color="auto"/>
              <w:right w:val="single" w:sz="4" w:space="0" w:color="auto"/>
            </w:tcBorders>
          </w:tcPr>
          <w:p w:rsidR="00F72521" w:rsidRPr="001C2B7D" w:rsidRDefault="00F72521" w:rsidP="001C2B7D">
            <w:pPr>
              <w:rPr>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72521" w:rsidP="001C2B7D">
            <w:pPr>
              <w:pStyle w:val="Default"/>
              <w:jc w:val="center"/>
            </w:pPr>
            <w:r w:rsidRPr="001C2B7D">
              <w:t>Эксперт РА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F72521" w:rsidRPr="001C2B7D" w:rsidRDefault="00F72521" w:rsidP="001C2B7D">
            <w:pPr>
              <w:pStyle w:val="Default"/>
              <w:jc w:val="center"/>
            </w:pPr>
            <w:r w:rsidRPr="001C2B7D">
              <w:t>АКРА</w:t>
            </w:r>
          </w:p>
        </w:tc>
        <w:tc>
          <w:tcPr>
            <w:tcW w:w="3593" w:type="dxa"/>
            <w:vMerge/>
            <w:tcBorders>
              <w:left w:val="single" w:sz="4" w:space="0" w:color="auto"/>
              <w:bottom w:val="single" w:sz="4" w:space="0" w:color="auto"/>
              <w:right w:val="single" w:sz="4" w:space="0" w:color="auto"/>
            </w:tcBorders>
          </w:tcPr>
          <w:p w:rsidR="00F72521" w:rsidRPr="001C2B7D" w:rsidRDefault="00F72521" w:rsidP="001C2B7D">
            <w:pPr>
              <w:pStyle w:val="Default"/>
              <w:jc w:val="center"/>
            </w:pPr>
          </w:p>
        </w:tc>
      </w:tr>
      <w:tr w:rsidR="00F72521" w:rsidRPr="004D26AD" w:rsidTr="001C2B7D">
        <w:trPr>
          <w:trHeight w:val="231"/>
        </w:trPr>
        <w:tc>
          <w:tcPr>
            <w:tcW w:w="0" w:type="auto"/>
            <w:tcBorders>
              <w:left w:val="single" w:sz="4" w:space="0" w:color="auto"/>
              <w:bottom w:val="single" w:sz="4" w:space="0" w:color="auto"/>
              <w:right w:val="single" w:sz="4" w:space="0" w:color="auto"/>
            </w:tcBorders>
            <w:vAlign w:val="center"/>
          </w:tcPr>
          <w:p w:rsidR="00F72521" w:rsidRPr="001C2B7D" w:rsidRDefault="00F72521" w:rsidP="001C2B7D">
            <w:pPr>
              <w:jc w:val="center"/>
              <w:rPr>
                <w:color w:val="000000"/>
                <w:szCs w:val="24"/>
              </w:rPr>
            </w:pPr>
            <w:r w:rsidRPr="001C2B7D">
              <w:rPr>
                <w:color w:val="000000"/>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2</w:t>
            </w:r>
          </w:p>
        </w:tc>
        <w:tc>
          <w:tcPr>
            <w:tcW w:w="2171" w:type="dxa"/>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3</w:t>
            </w:r>
          </w:p>
        </w:tc>
        <w:tc>
          <w:tcPr>
            <w:tcW w:w="3593" w:type="dxa"/>
            <w:tcBorders>
              <w:top w:val="single" w:sz="4" w:space="0" w:color="auto"/>
              <w:left w:val="single" w:sz="4" w:space="0" w:color="auto"/>
              <w:bottom w:val="single" w:sz="4" w:space="0" w:color="auto"/>
              <w:right w:val="single" w:sz="4" w:space="0" w:color="auto"/>
            </w:tcBorders>
          </w:tcPr>
          <w:p w:rsidR="00F72521" w:rsidRPr="001C2B7D" w:rsidRDefault="00F269A5" w:rsidP="001C2B7D">
            <w:pPr>
              <w:pStyle w:val="Default"/>
              <w:jc w:val="center"/>
            </w:pPr>
            <w:r w:rsidRPr="001C2B7D">
              <w:t>4</w:t>
            </w:r>
          </w:p>
        </w:tc>
      </w:tr>
      <w:tr w:rsidR="00CD17CF" w:rsidRPr="004D26AD" w:rsidTr="001C2B7D">
        <w:trPr>
          <w:trHeight w:val="698"/>
        </w:trPr>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Рейтинговая группа I</w:t>
            </w:r>
          </w:p>
        </w:tc>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jc w:val="center"/>
            </w:pPr>
            <w:r w:rsidRPr="001C2B7D">
              <w:rPr>
                <w:szCs w:val="24"/>
              </w:rPr>
              <w:t>ruAAA</w:t>
            </w:r>
          </w:p>
        </w:tc>
        <w:tc>
          <w:tcPr>
            <w:tcW w:w="2171"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AAA (RU)</w:t>
            </w:r>
          </w:p>
        </w:tc>
        <w:tc>
          <w:tcPr>
            <w:tcW w:w="3593"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0,24</w:t>
            </w:r>
          </w:p>
        </w:tc>
      </w:tr>
      <w:tr w:rsidR="002126EA" w:rsidRPr="004D26AD" w:rsidTr="001C2B7D">
        <w:trPr>
          <w:trHeight w:val="615"/>
        </w:trPr>
        <w:tc>
          <w:tcPr>
            <w:tcW w:w="0" w:type="auto"/>
            <w:vMerge w:val="restart"/>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r w:rsidRPr="001C2B7D">
              <w:t>Рейтинговая группа 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0,32</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0,48</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А(RU),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0,96</w:t>
            </w:r>
          </w:p>
        </w:tc>
      </w:tr>
      <w:tr w:rsidR="002126EA" w:rsidRPr="004D26AD" w:rsidTr="001C2B7D">
        <w:trPr>
          <w:trHeight w:val="24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BBB (RU)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1,98</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3,13</w:t>
            </w:r>
          </w:p>
        </w:tc>
      </w:tr>
      <w:tr w:rsidR="002126EA" w:rsidRPr="004D26AD" w:rsidTr="001C2B7D">
        <w:trPr>
          <w:trHeight w:val="355"/>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6,</w:t>
            </w:r>
            <w:r w:rsidRPr="001C2B7D">
              <w:rPr>
                <w:lang w:val="en-US"/>
              </w:rPr>
              <w:t>5</w:t>
            </w:r>
            <w:r w:rsidRPr="001C2B7D">
              <w:t>2</w:t>
            </w:r>
          </w:p>
        </w:tc>
      </w:tr>
      <w:tr w:rsidR="002126EA" w:rsidRPr="004D26AD" w:rsidTr="001C2B7D">
        <w:trPr>
          <w:trHeight w:val="27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IV</w:t>
            </w:r>
          </w:p>
        </w:tc>
        <w:tc>
          <w:tcPr>
            <w:tcW w:w="0" w:type="auto"/>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rPr>
                <w:lang w:val="en-US"/>
              </w:rPr>
            </w:pPr>
            <w:r w:rsidRPr="001C2B7D">
              <w:t xml:space="preserve">ruBB- </w:t>
            </w:r>
            <w:r w:rsidR="00EF56CE" w:rsidRPr="001C2B7D">
              <w:t xml:space="preserve">и </w:t>
            </w:r>
            <w:r w:rsidRPr="001C2B7D">
              <w:t>ниже</w:t>
            </w:r>
          </w:p>
        </w:tc>
        <w:tc>
          <w:tcPr>
            <w:tcW w:w="2171" w:type="dxa"/>
            <w:tcBorders>
              <w:top w:val="single" w:sz="4" w:space="0" w:color="auto"/>
              <w:left w:val="single" w:sz="4" w:space="0" w:color="auto"/>
              <w:right w:val="single" w:sz="4" w:space="0" w:color="auto"/>
            </w:tcBorders>
            <w:vAlign w:val="center"/>
            <w:hideMark/>
          </w:tcPr>
          <w:p w:rsidR="002126EA" w:rsidRPr="001C2B7D" w:rsidRDefault="002126EA" w:rsidP="001C2B7D">
            <w:pPr>
              <w:pStyle w:val="Default"/>
              <w:jc w:val="center"/>
            </w:pPr>
            <w:r w:rsidRPr="001C2B7D">
              <w:t>BB-(RU) и ниже</w:t>
            </w:r>
          </w:p>
        </w:tc>
        <w:tc>
          <w:tcPr>
            <w:tcW w:w="3593" w:type="dxa"/>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pPr>
            <w:r w:rsidRPr="001C2B7D">
              <w:t>28,30</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ruD</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D(RU)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100</w:t>
            </w:r>
          </w:p>
        </w:tc>
      </w:tr>
    </w:tbl>
    <w:p w:rsidR="00AD55BF" w:rsidRDefault="00AD55BF" w:rsidP="001C2B7D">
      <w:pPr>
        <w:spacing w:after="114"/>
        <w:ind w:right="54"/>
        <w:jc w:val="both"/>
        <w:rPr>
          <w:color w:val="000000"/>
          <w:szCs w:val="22"/>
        </w:rPr>
      </w:pP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15"/>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1C1A88"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16"/>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17"/>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585C5E"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585C5E"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90"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91"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92"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3"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4"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5"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6"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7"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8"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9"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100" w:history="1">
        <w:r w:rsidRPr="001F6755">
          <w:rPr>
            <w:rFonts w:eastAsiaTheme="minorHAnsi"/>
            <w:color w:val="0000FF" w:themeColor="hyperlink"/>
            <w:szCs w:val="24"/>
            <w:u w:val="single"/>
            <w:lang w:eastAsia="en-US"/>
          </w:rPr>
          <w:t>https://bankruptcy.kommersant.ru</w:t>
        </w:r>
      </w:hyperlink>
    </w:p>
    <w:p w:rsidR="009F5BCD" w:rsidRPr="00BD0E66" w:rsidRDefault="001F6755" w:rsidP="0072342E">
      <w:pPr>
        <w:pStyle w:val="affb"/>
        <w:jc w:val="left"/>
        <w:rPr>
          <w:color w:val="000000"/>
          <w:szCs w:val="22"/>
        </w:rPr>
      </w:pPr>
      <w:r w:rsidRPr="001F6755">
        <w:rPr>
          <w:rFonts w:eastAsiaTheme="minorHAnsi"/>
          <w:lang w:eastAsia="en-US"/>
        </w:rPr>
        <w:br w:type="page"/>
      </w:r>
      <w:bookmarkStart w:id="45" w:name="_Toc66447217"/>
      <w:r w:rsidR="005D27E1">
        <w:t xml:space="preserve">                                                                                                                                 </w:t>
      </w:r>
      <w:bookmarkStart w:id="46" w:name="_Toc74043326"/>
      <w:r w:rsidR="009F5BCD" w:rsidRPr="00BD0E66">
        <w:t>Приложение 5</w:t>
      </w:r>
      <w:bookmarkEnd w:id="45"/>
      <w:r w:rsidR="009F5BCD" w:rsidRPr="00BD0E66">
        <w:t xml:space="preserve"> </w:t>
      </w:r>
      <w:bookmarkStart w:id="47" w:name="_Toc66447218"/>
      <w:r w:rsidR="009F5BCD" w:rsidRPr="00BD0E66">
        <w:rPr>
          <w:color w:val="000000"/>
          <w:szCs w:val="22"/>
        </w:rPr>
        <w:t>Определение соответствия уровню рейтинга через кредитный спред облигаций</w:t>
      </w:r>
      <w:bookmarkEnd w:id="46"/>
      <w:bookmarkEnd w:id="47"/>
      <w:r w:rsidR="009F5BCD" w:rsidRPr="00BD0E66">
        <w:rPr>
          <w:color w:val="000000"/>
          <w:szCs w:val="22"/>
        </w:rPr>
        <w:t xml:space="preserve"> </w:t>
      </w:r>
    </w:p>
    <w:p w:rsidR="009F5BCD" w:rsidRPr="009F5BCD" w:rsidRDefault="009F5BCD" w:rsidP="001C2B7D">
      <w:pPr>
        <w:spacing w:after="157"/>
        <w:rPr>
          <w:color w:val="000000"/>
          <w:szCs w:val="22"/>
        </w:rPr>
      </w:pPr>
      <w:r w:rsidRPr="009F5BCD">
        <w:rPr>
          <w:b/>
          <w:color w:val="000000"/>
          <w:szCs w:val="22"/>
        </w:rPr>
        <w:t xml:space="preserve"> </w:t>
      </w:r>
    </w:p>
    <w:p w:rsidR="009F5BCD" w:rsidRPr="009F5BCD" w:rsidRDefault="009F5BCD" w:rsidP="001C2B7D">
      <w:pPr>
        <w:spacing w:after="154"/>
        <w:ind w:left="10" w:right="54" w:hanging="10"/>
        <w:jc w:val="both"/>
        <w:rPr>
          <w:color w:val="000000"/>
          <w:szCs w:val="22"/>
        </w:rPr>
      </w:pPr>
      <w:r w:rsidRPr="009F5BCD">
        <w:rPr>
          <w:color w:val="000000"/>
          <w:szCs w:val="22"/>
        </w:rPr>
        <w:t xml:space="preserve">Порядок определения соответствия уровню рейтинга на дату оценки: </w:t>
      </w:r>
    </w:p>
    <w:p w:rsidR="009F5BCD" w:rsidRPr="009F5BCD" w:rsidRDefault="009F5BCD" w:rsidP="001C2B7D">
      <w:pPr>
        <w:numPr>
          <w:ilvl w:val="0"/>
          <w:numId w:val="149"/>
        </w:numPr>
        <w:spacing w:after="52"/>
        <w:ind w:right="54" w:hanging="10"/>
        <w:jc w:val="both"/>
        <w:rPr>
          <w:color w:val="000000"/>
          <w:szCs w:val="22"/>
        </w:rPr>
      </w:pPr>
      <w:r w:rsidRPr="009F5BCD">
        <w:rPr>
          <w:color w:val="000000"/>
          <w:szCs w:val="22"/>
        </w:rPr>
        <w:t xml:space="preserve">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w:t>
      </w:r>
    </w:p>
    <w:p w:rsidR="009F5BCD" w:rsidRPr="009F5BCD" w:rsidRDefault="009F5BCD" w:rsidP="001C2B7D">
      <w:pPr>
        <w:numPr>
          <w:ilvl w:val="0"/>
          <w:numId w:val="149"/>
        </w:numPr>
        <w:spacing w:after="14"/>
        <w:ind w:right="54" w:hanging="10"/>
        <w:jc w:val="both"/>
        <w:rPr>
          <w:color w:val="000000"/>
          <w:szCs w:val="22"/>
        </w:rPr>
      </w:pPr>
      <w:r w:rsidRPr="009F5BCD">
        <w:rPr>
          <w:color w:val="000000"/>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9F5BCD">
        <w:rPr>
          <w:color w:val="000000"/>
          <w:szCs w:val="22"/>
          <w:vertAlign w:val="superscript"/>
        </w:rPr>
        <w:footnoteReference w:id="18"/>
      </w:r>
      <w:r w:rsidRPr="009F5BCD">
        <w:rPr>
          <w:color w:val="000000"/>
          <w:szCs w:val="22"/>
        </w:rPr>
        <w:t xml:space="preserve"> кредитный спрэд облигаций с G-curve в сравнении с кредитным спрэдом указанных ниже индексов. Кредитный спрэд рассчитывается</w:t>
      </w:r>
      <w:r w:rsidRPr="009F5BCD">
        <w:rPr>
          <w:color w:val="000000"/>
          <w:szCs w:val="22"/>
          <w:vertAlign w:val="superscript"/>
        </w:rPr>
        <w:footnoteReference w:id="19"/>
      </w:r>
      <w:r w:rsidRPr="009F5BCD">
        <w:rPr>
          <w:color w:val="000000"/>
          <w:szCs w:val="22"/>
        </w:rPr>
        <w:t xml:space="preserve"> как разница между доходностью к погашению облигации на срок ее модифицированной дюрации и Gcurve на этот срок. В указанных целях используются следующие индексы: </w:t>
      </w:r>
    </w:p>
    <w:p w:rsidR="009F5BCD" w:rsidRPr="009F5BCD" w:rsidRDefault="009F5BCD" w:rsidP="001C2B7D">
      <w:pPr>
        <w:numPr>
          <w:ilvl w:val="1"/>
          <w:numId w:val="149"/>
        </w:numPr>
        <w:spacing w:after="8"/>
        <w:ind w:right="54" w:hanging="10"/>
        <w:jc w:val="both"/>
        <w:rPr>
          <w:color w:val="000000"/>
          <w:szCs w:val="22"/>
        </w:rPr>
      </w:pPr>
      <w:r w:rsidRPr="009F5BCD">
        <w:rPr>
          <w:color w:val="000000"/>
          <w:szCs w:val="22"/>
        </w:rPr>
        <w:t xml:space="preserve">Индекс корпоративных облигаций (1-3 года, рейтинг ≥ BBB-) Тикер – </w:t>
      </w:r>
      <w:r w:rsidRPr="009F5BCD">
        <w:rPr>
          <w:b/>
          <w:color w:val="000000"/>
          <w:szCs w:val="22"/>
        </w:rPr>
        <w:t>RUCBITRBBB3Y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01">
        <w:r w:rsidRPr="009F5BCD">
          <w:rPr>
            <w:color w:val="000000"/>
            <w:szCs w:val="22"/>
          </w:rPr>
          <w:t xml:space="preserve"> </w:t>
        </w:r>
      </w:hyperlink>
      <w:hyperlink r:id="rId102">
        <w:r w:rsidRPr="009F5BCD">
          <w:rPr>
            <w:color w:val="000000"/>
            <w:szCs w:val="22"/>
            <w:u w:val="single" w:color="000000"/>
          </w:rPr>
          <w:t>http://moex.com/a2197</w:t>
        </w:r>
      </w:hyperlink>
      <w:hyperlink r:id="rId103">
        <w:r w:rsidRPr="009F5BCD">
          <w:rPr>
            <w:color w:val="000000"/>
            <w:szCs w:val="22"/>
          </w:rPr>
          <w:t>.</w:t>
        </w:r>
      </w:hyperlink>
      <w:r w:rsidRPr="009F5BCD">
        <w:rPr>
          <w:color w:val="000000"/>
          <w:szCs w:val="22"/>
        </w:rPr>
        <w:t xml:space="preserve"> </w:t>
      </w:r>
    </w:p>
    <w:p w:rsidR="009F5BCD" w:rsidRPr="009F5BCD" w:rsidRDefault="009F5BCD" w:rsidP="001C2B7D">
      <w:pPr>
        <w:spacing w:after="179"/>
        <w:ind w:left="989" w:right="54" w:hanging="10"/>
        <w:jc w:val="both"/>
        <w:rPr>
          <w:color w:val="000000"/>
          <w:szCs w:val="22"/>
        </w:rPr>
      </w:pPr>
      <w:r w:rsidRPr="009F5BCD">
        <w:rPr>
          <w:color w:val="000000"/>
          <w:szCs w:val="22"/>
        </w:rPr>
        <w:t>Архив значений -</w:t>
      </w:r>
      <w:hyperlink r:id="rId104">
        <w:r w:rsidRPr="009F5BCD">
          <w:rPr>
            <w:color w:val="000000"/>
            <w:szCs w:val="22"/>
          </w:rPr>
          <w:t xml:space="preserve"> </w:t>
        </w:r>
      </w:hyperlink>
      <w:hyperlink r:id="rId105">
        <w:r w:rsidRPr="009F5BCD">
          <w:rPr>
            <w:color w:val="000000"/>
            <w:szCs w:val="22"/>
            <w:u w:val="single" w:color="000000"/>
          </w:rPr>
          <w:t>http://moex.com/ru/index/RUCBITRBBB3Y/archive</w:t>
        </w:r>
      </w:hyperlink>
      <w:hyperlink r:id="rId106">
        <w:r w:rsidRPr="009F5BCD">
          <w:rPr>
            <w:color w:val="000000"/>
            <w:szCs w:val="22"/>
          </w:rPr>
          <w:t xml:space="preserve"> </w:t>
        </w:r>
      </w:hyperlink>
    </w:p>
    <w:p w:rsidR="009F5BCD" w:rsidRPr="009F5BCD" w:rsidRDefault="009F5BCD" w:rsidP="001C2B7D">
      <w:pPr>
        <w:numPr>
          <w:ilvl w:val="1"/>
          <w:numId w:val="149"/>
        </w:numPr>
        <w:spacing w:after="75"/>
        <w:ind w:right="54" w:hanging="10"/>
        <w:jc w:val="both"/>
        <w:rPr>
          <w:color w:val="000000"/>
          <w:szCs w:val="22"/>
        </w:rPr>
      </w:pPr>
      <w:r w:rsidRPr="009F5BCD">
        <w:rPr>
          <w:color w:val="000000"/>
          <w:szCs w:val="22"/>
        </w:rPr>
        <w:t xml:space="preserve">Индекс корпоративных облигаций (1-3 года, BB- ≤ рейтинг &lt; BBB-) </w:t>
      </w:r>
    </w:p>
    <w:p w:rsidR="009F5BCD" w:rsidRPr="009F5BCD" w:rsidRDefault="009F5BCD" w:rsidP="001C2B7D">
      <w:pPr>
        <w:spacing w:after="133"/>
        <w:ind w:left="1004" w:hanging="10"/>
        <w:rPr>
          <w:color w:val="000000"/>
          <w:szCs w:val="22"/>
        </w:rPr>
      </w:pPr>
      <w:r w:rsidRPr="009F5BCD">
        <w:rPr>
          <w:color w:val="000000"/>
          <w:szCs w:val="22"/>
        </w:rPr>
        <w:t xml:space="preserve">Тикер -  </w:t>
      </w:r>
      <w:r w:rsidRPr="009F5BCD">
        <w:rPr>
          <w:b/>
          <w:color w:val="000000"/>
          <w:szCs w:val="22"/>
        </w:rPr>
        <w:t>RUCBITRBB3Y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 xml:space="preserve">Описание индекса -  </w:t>
      </w:r>
      <w:hyperlink r:id="rId107">
        <w:r w:rsidRPr="009F5BCD">
          <w:rPr>
            <w:color w:val="000000"/>
            <w:szCs w:val="22"/>
            <w:u w:val="single" w:color="000000"/>
          </w:rPr>
          <w:t>http://moex.com/a2196</w:t>
        </w:r>
      </w:hyperlink>
      <w:hyperlink r:id="rId108">
        <w:r w:rsidRPr="009F5BCD">
          <w:rPr>
            <w:color w:val="000000"/>
            <w:szCs w:val="22"/>
          </w:rPr>
          <w:t xml:space="preserve"> </w:t>
        </w:r>
      </w:hyperlink>
    </w:p>
    <w:p w:rsidR="009F5BCD" w:rsidRPr="009F5BCD" w:rsidRDefault="009F5BCD" w:rsidP="001C2B7D">
      <w:pPr>
        <w:spacing w:after="176"/>
        <w:ind w:left="989" w:right="54" w:hanging="10"/>
        <w:jc w:val="both"/>
        <w:rPr>
          <w:color w:val="000000"/>
          <w:szCs w:val="22"/>
        </w:rPr>
      </w:pPr>
      <w:r w:rsidRPr="009F5BCD">
        <w:rPr>
          <w:color w:val="000000"/>
          <w:szCs w:val="22"/>
        </w:rPr>
        <w:t>Архив значений -</w:t>
      </w:r>
      <w:hyperlink r:id="rId109">
        <w:r w:rsidRPr="009F5BCD">
          <w:rPr>
            <w:color w:val="000000"/>
            <w:szCs w:val="22"/>
          </w:rPr>
          <w:t xml:space="preserve"> </w:t>
        </w:r>
      </w:hyperlink>
      <w:hyperlink r:id="rId110">
        <w:r w:rsidRPr="009F5BCD">
          <w:rPr>
            <w:color w:val="000000"/>
            <w:szCs w:val="22"/>
            <w:u w:val="single" w:color="000000"/>
          </w:rPr>
          <w:t>http://moex.com/ru/index/RUCBITRBB3Y/archive</w:t>
        </w:r>
      </w:hyperlink>
      <w:hyperlink r:id="rId111">
        <w:r w:rsidRPr="009F5BCD">
          <w:rPr>
            <w:color w:val="000000"/>
            <w:szCs w:val="22"/>
          </w:rPr>
          <w:t xml:space="preserve"> </w:t>
        </w:r>
      </w:hyperlink>
    </w:p>
    <w:p w:rsidR="009F5BCD" w:rsidRPr="009F5BCD" w:rsidRDefault="009F5BCD" w:rsidP="001C2B7D">
      <w:pPr>
        <w:numPr>
          <w:ilvl w:val="1"/>
          <w:numId w:val="149"/>
        </w:numPr>
        <w:spacing w:after="76"/>
        <w:ind w:right="54" w:hanging="10"/>
        <w:jc w:val="both"/>
        <w:rPr>
          <w:color w:val="000000"/>
          <w:szCs w:val="22"/>
        </w:rPr>
      </w:pPr>
      <w:r w:rsidRPr="009F5BCD">
        <w:rPr>
          <w:color w:val="000000"/>
          <w:szCs w:val="22"/>
        </w:rPr>
        <w:t xml:space="preserve">Индекс корпоративных облигаций (1-3 года, B- ≤ рейтинг &lt; BB-)  </w:t>
      </w:r>
    </w:p>
    <w:p w:rsidR="009F5BCD" w:rsidRPr="009F5BCD" w:rsidRDefault="009F5BCD" w:rsidP="001C2B7D">
      <w:pPr>
        <w:spacing w:after="134"/>
        <w:ind w:left="1004" w:hanging="10"/>
        <w:rPr>
          <w:color w:val="000000"/>
          <w:szCs w:val="22"/>
        </w:rPr>
      </w:pPr>
      <w:r w:rsidRPr="009F5BCD">
        <w:rPr>
          <w:color w:val="000000"/>
          <w:szCs w:val="22"/>
        </w:rPr>
        <w:t xml:space="preserve">Тикер - </w:t>
      </w:r>
      <w:r w:rsidRPr="009F5BCD">
        <w:rPr>
          <w:b/>
          <w:color w:val="000000"/>
          <w:szCs w:val="22"/>
        </w:rPr>
        <w:t>RUCBITRB3Y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12">
        <w:r w:rsidRPr="009F5BCD">
          <w:rPr>
            <w:color w:val="000000"/>
            <w:szCs w:val="22"/>
          </w:rPr>
          <w:t xml:space="preserve"> </w:t>
        </w:r>
      </w:hyperlink>
      <w:hyperlink r:id="rId113">
        <w:r w:rsidRPr="009F5BCD">
          <w:rPr>
            <w:color w:val="000000"/>
            <w:szCs w:val="22"/>
            <w:u w:val="single" w:color="000000"/>
          </w:rPr>
          <w:t>http://moex.com/a2195</w:t>
        </w:r>
      </w:hyperlink>
      <w:hyperlink r:id="rId114">
        <w:r w:rsidRPr="009F5BCD">
          <w:rPr>
            <w:color w:val="000000"/>
            <w:szCs w:val="22"/>
          </w:rPr>
          <w:t xml:space="preserve"> </w:t>
        </w:r>
      </w:hyperlink>
    </w:p>
    <w:p w:rsidR="00FE530B" w:rsidRDefault="009F5BCD" w:rsidP="001C2B7D">
      <w:pPr>
        <w:spacing w:after="162"/>
        <w:ind w:left="989" w:right="54" w:hanging="10"/>
        <w:jc w:val="both"/>
        <w:rPr>
          <w:color w:val="000000"/>
          <w:szCs w:val="22"/>
        </w:rPr>
      </w:pPr>
      <w:r w:rsidRPr="009F5BCD">
        <w:rPr>
          <w:color w:val="000000"/>
          <w:szCs w:val="22"/>
        </w:rPr>
        <w:t>Архив значений -</w:t>
      </w:r>
      <w:hyperlink r:id="rId115">
        <w:r w:rsidRPr="009F5BCD">
          <w:rPr>
            <w:color w:val="000000"/>
            <w:szCs w:val="22"/>
          </w:rPr>
          <w:t xml:space="preserve"> </w:t>
        </w:r>
      </w:hyperlink>
      <w:hyperlink r:id="rId116">
        <w:r w:rsidRPr="009F5BCD">
          <w:rPr>
            <w:color w:val="000000"/>
            <w:szCs w:val="22"/>
            <w:u w:val="single" w:color="000000"/>
          </w:rPr>
          <w:t>http://moex.com/ru/index/RUCBITRB3Y/archive/</w:t>
        </w:r>
      </w:hyperlink>
      <w:hyperlink r:id="rId117">
        <w:r w:rsidRPr="009F5BCD">
          <w:rPr>
            <w:color w:val="000000"/>
            <w:szCs w:val="22"/>
          </w:rPr>
          <w:t xml:space="preserve"> </w:t>
        </w:r>
      </w:hyperlink>
    </w:p>
    <w:p w:rsidR="00FE530B" w:rsidRDefault="00FE530B">
      <w:pPr>
        <w:rPr>
          <w:color w:val="000000"/>
          <w:szCs w:val="22"/>
        </w:rPr>
      </w:pPr>
      <w:r>
        <w:rPr>
          <w:color w:val="000000"/>
          <w:szCs w:val="22"/>
        </w:rPr>
        <w:br w:type="page"/>
      </w:r>
    </w:p>
    <w:p w:rsidR="009F5BCD" w:rsidRPr="009F5BCD" w:rsidRDefault="009F5BCD" w:rsidP="001C2B7D">
      <w:pPr>
        <w:spacing w:after="162"/>
        <w:ind w:left="989" w:right="54" w:hanging="10"/>
        <w:jc w:val="both"/>
        <w:rPr>
          <w:color w:val="000000"/>
          <w:szCs w:val="22"/>
        </w:rPr>
      </w:pPr>
    </w:p>
    <w:p w:rsidR="009F5BCD" w:rsidRDefault="009F5BCD" w:rsidP="001C2B7D">
      <w:pPr>
        <w:numPr>
          <w:ilvl w:val="0"/>
          <w:numId w:val="149"/>
        </w:numPr>
        <w:spacing w:after="52"/>
        <w:ind w:right="54" w:hanging="10"/>
        <w:jc w:val="both"/>
        <w:rPr>
          <w:color w:val="000000"/>
          <w:szCs w:val="22"/>
        </w:rPr>
      </w:pPr>
      <w:r w:rsidRPr="009F5BCD">
        <w:rPr>
          <w:color w:val="000000"/>
          <w:szCs w:val="22"/>
        </w:rPr>
        <w:t xml:space="preserve">По следующей таблице определяется, какой уровень рейтинга использовать при определении вероятности дефолта: </w:t>
      </w:r>
    </w:p>
    <w:p w:rsidR="009E392C" w:rsidRPr="009F5BCD" w:rsidRDefault="009E392C" w:rsidP="009E392C">
      <w:pPr>
        <w:spacing w:after="52"/>
        <w:ind w:right="54"/>
        <w:jc w:val="both"/>
        <w:rPr>
          <w:color w:val="000000"/>
          <w:szCs w:val="22"/>
        </w:rPr>
      </w:pPr>
    </w:p>
    <w:tbl>
      <w:tblPr>
        <w:tblStyle w:val="TableGrid1"/>
        <w:tblW w:w="8715" w:type="dxa"/>
        <w:tblInd w:w="738" w:type="dxa"/>
        <w:tblCellMar>
          <w:top w:w="13" w:type="dxa"/>
          <w:left w:w="115" w:type="dxa"/>
          <w:right w:w="115" w:type="dxa"/>
        </w:tblCellMar>
        <w:tblLook w:val="04A0" w:firstRow="1" w:lastRow="0" w:firstColumn="1" w:lastColumn="0" w:noHBand="0" w:noVBand="1"/>
      </w:tblPr>
      <w:tblGrid>
        <w:gridCol w:w="3523"/>
        <w:gridCol w:w="5192"/>
      </w:tblGrid>
      <w:tr w:rsidR="009E392C" w:rsidRPr="001E1A10" w:rsidTr="009E392C">
        <w:trPr>
          <w:trHeight w:val="1285"/>
        </w:trPr>
        <w:tc>
          <w:tcPr>
            <w:tcW w:w="3523" w:type="dxa"/>
            <w:tcBorders>
              <w:top w:val="single" w:sz="4" w:space="0" w:color="000000"/>
              <w:left w:val="single" w:sz="4" w:space="0" w:color="000000"/>
              <w:right w:val="single" w:sz="8" w:space="0" w:color="000000"/>
            </w:tcBorders>
            <w:shd w:val="clear" w:color="auto" w:fill="D8D8D8"/>
            <w:vAlign w:val="center"/>
          </w:tcPr>
          <w:p w:rsidR="009E392C" w:rsidRPr="001E1A10" w:rsidRDefault="009E392C" w:rsidP="001C2B7D">
            <w:pPr>
              <w:ind w:right="7"/>
              <w:jc w:val="center"/>
              <w:rPr>
                <w:color w:val="000000"/>
              </w:rPr>
            </w:pPr>
            <w:r>
              <w:rPr>
                <w:b/>
                <w:color w:val="000000"/>
              </w:rPr>
              <w:t>Эксперт РА</w:t>
            </w:r>
          </w:p>
        </w:tc>
        <w:tc>
          <w:tcPr>
            <w:tcW w:w="5192" w:type="dxa"/>
            <w:tcBorders>
              <w:top w:val="single" w:sz="4" w:space="0" w:color="000000"/>
              <w:left w:val="single" w:sz="8" w:space="0" w:color="000000"/>
              <w:bottom w:val="single" w:sz="8" w:space="0" w:color="000000"/>
              <w:right w:val="single" w:sz="4" w:space="0" w:color="000000"/>
            </w:tcBorders>
            <w:shd w:val="clear" w:color="auto" w:fill="F2F2F2"/>
            <w:vAlign w:val="center"/>
          </w:tcPr>
          <w:p w:rsidR="009E392C" w:rsidRPr="001E1A10" w:rsidRDefault="009E392C" w:rsidP="001C2B7D">
            <w:pPr>
              <w:jc w:val="center"/>
              <w:rPr>
                <w:color w:val="000000"/>
              </w:rPr>
            </w:pPr>
            <w:r w:rsidRPr="001E1A10">
              <w:rPr>
                <w:b/>
                <w:color w:val="000000"/>
              </w:rPr>
              <w:t>Индекс</w:t>
            </w:r>
          </w:p>
        </w:tc>
      </w:tr>
      <w:tr w:rsidR="00BB28BA" w:rsidRPr="001E1A10" w:rsidTr="00BB28BA">
        <w:trPr>
          <w:trHeight w:val="636"/>
        </w:trPr>
        <w:tc>
          <w:tcPr>
            <w:tcW w:w="3523" w:type="dxa"/>
            <w:tcBorders>
              <w:top w:val="single" w:sz="8" w:space="0" w:color="000000"/>
              <w:left w:val="single" w:sz="4" w:space="0" w:color="000000"/>
              <w:right w:val="single" w:sz="4" w:space="0" w:color="auto"/>
            </w:tcBorders>
            <w:shd w:val="clear" w:color="auto" w:fill="DEEAF6"/>
            <w:vAlign w:val="center"/>
          </w:tcPr>
          <w:p w:rsidR="00BB28BA" w:rsidRPr="00BB28BA" w:rsidRDefault="00BB28BA" w:rsidP="001C2B7D">
            <w:pPr>
              <w:ind w:right="6"/>
              <w:jc w:val="center"/>
              <w:rPr>
                <w:color w:val="000000"/>
                <w:lang w:val="en-US"/>
              </w:rPr>
            </w:pPr>
            <w:r>
              <w:rPr>
                <w:color w:val="000000"/>
                <w:lang w:val="en-US"/>
              </w:rPr>
              <w:t>ruAAA</w:t>
            </w:r>
          </w:p>
        </w:tc>
        <w:tc>
          <w:tcPr>
            <w:tcW w:w="5192" w:type="dxa"/>
            <w:tcBorders>
              <w:top w:val="single" w:sz="4" w:space="0" w:color="auto"/>
              <w:left w:val="single" w:sz="4" w:space="0" w:color="auto"/>
              <w:bottom w:val="single" w:sz="4" w:space="0" w:color="auto"/>
              <w:right w:val="single" w:sz="4" w:space="0" w:color="auto"/>
            </w:tcBorders>
            <w:shd w:val="clear" w:color="auto" w:fill="DEEAF6"/>
            <w:vAlign w:val="center"/>
          </w:tcPr>
          <w:p w:rsidR="00BB28BA" w:rsidRPr="001E1A10" w:rsidRDefault="00BB28BA" w:rsidP="001C2B7D">
            <w:pPr>
              <w:ind w:right="4"/>
              <w:jc w:val="center"/>
              <w:rPr>
                <w:color w:val="000000"/>
              </w:rPr>
            </w:pPr>
            <w:r w:rsidRPr="001E1A10">
              <w:rPr>
                <w:b/>
                <w:color w:val="000000"/>
              </w:rPr>
              <w:t>RUCBITRBBB3Y</w:t>
            </w:r>
          </w:p>
        </w:tc>
      </w:tr>
      <w:tr w:rsidR="001E1A10"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1E1A10" w:rsidRPr="00BB28BA" w:rsidRDefault="00BB28BA" w:rsidP="001C2B7D">
            <w:pPr>
              <w:ind w:right="6"/>
              <w:jc w:val="center"/>
              <w:rPr>
                <w:color w:val="000000"/>
                <w:lang w:val="en-US"/>
              </w:rPr>
            </w:pPr>
            <w:r w:rsidRPr="00BB28BA">
              <w:rPr>
                <w:color w:val="000000"/>
                <w:lang w:val="en-US"/>
              </w:rPr>
              <w:t>ruAA+, ruAA</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1E1A10" w:rsidRPr="001E1A10" w:rsidRDefault="001E1A10" w:rsidP="001C2B7D">
            <w:pPr>
              <w:ind w:right="1"/>
              <w:jc w:val="center"/>
              <w:rPr>
                <w:color w:val="000000"/>
              </w:rPr>
            </w:pPr>
            <w:r w:rsidRPr="001E1A10">
              <w:rPr>
                <w:b/>
                <w:color w:val="000000"/>
              </w:rPr>
              <w:t>RUCBITRBB3Y</w:t>
            </w: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29"/>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ruBBB</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B28BA" w:rsidRPr="001E1A10" w:rsidRDefault="00BB28BA" w:rsidP="001C2B7D">
            <w:pPr>
              <w:ind w:right="2"/>
              <w:jc w:val="center"/>
              <w:rPr>
                <w:color w:val="000000"/>
              </w:rPr>
            </w:pPr>
            <w:r w:rsidRPr="001E1A10">
              <w:rPr>
                <w:b/>
                <w:color w:val="000000"/>
              </w:rPr>
              <w:t>RUCBITRB3Y</w:t>
            </w:r>
          </w:p>
        </w:tc>
      </w:tr>
      <w:tr w:rsidR="00BB28BA" w:rsidRPr="001E1A10" w:rsidTr="009E392C">
        <w:trPr>
          <w:trHeight w:val="629"/>
        </w:trPr>
        <w:tc>
          <w:tcPr>
            <w:tcW w:w="3523" w:type="dxa"/>
            <w:tcBorders>
              <w:top w:val="single" w:sz="4" w:space="0" w:color="000000"/>
              <w:left w:val="single" w:sz="4" w:space="0" w:color="000000"/>
              <w:bottom w:val="single" w:sz="8"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r w:rsidR="00BB28BA" w:rsidRPr="001E1A10" w:rsidTr="009E392C">
        <w:trPr>
          <w:trHeight w:val="628"/>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bl>
    <w:p w:rsidR="00FE530B" w:rsidRDefault="00FE530B">
      <w:pPr>
        <w:rPr>
          <w:rFonts w:eastAsia="Calibri"/>
          <w:szCs w:val="24"/>
          <w:lang w:eastAsia="en-US"/>
        </w:rPr>
      </w:pPr>
      <w:r>
        <w:rPr>
          <w:rFonts w:eastAsia="Calibri"/>
          <w:szCs w:val="24"/>
          <w:lang w:eastAsia="en-US"/>
        </w:rPr>
        <w:br w:type="page"/>
      </w:r>
    </w:p>
    <w:p w:rsidR="00585C5E" w:rsidRDefault="003A6C53" w:rsidP="00585C5E">
      <w:pPr>
        <w:pStyle w:val="affb"/>
      </w:pPr>
      <w:bookmarkStart w:id="48" w:name="_Toc74043327"/>
      <w:r w:rsidRPr="005D27E1">
        <w:t xml:space="preserve">Приложение </w:t>
      </w:r>
      <w:r w:rsidR="009F5BCD" w:rsidRPr="005D27E1">
        <w:t>6</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8"/>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t xml:space="preserve">Приложение 7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9" w:name="_Toc74043328"/>
      <w:r>
        <w:br w:type="page"/>
      </w:r>
    </w:p>
    <w:p w:rsidR="00585C5E" w:rsidRDefault="00AC6698" w:rsidP="00585C5E">
      <w:pPr>
        <w:pStyle w:val="affb"/>
      </w:pPr>
      <w:r w:rsidRPr="00207827">
        <w:t xml:space="preserve">Приложение </w:t>
      </w:r>
      <w:r w:rsidR="00AB5DD7">
        <w:t>8</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9"/>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1C2B7D">
      <w:pPr>
        <w:numPr>
          <w:ilvl w:val="0"/>
          <w:numId w:val="151"/>
        </w:numPr>
        <w:spacing w:after="76"/>
        <w:ind w:right="45" w:hanging="360"/>
        <w:jc w:val="both"/>
        <w:rPr>
          <w:color w:val="000000"/>
          <w:szCs w:val="22"/>
        </w:rPr>
        <w:sectPr w:rsidR="0055357F" w:rsidSect="00FE530B">
          <w:footerReference w:type="default" r:id="rId118"/>
          <w:pgSz w:w="11906" w:h="16838"/>
          <w:pgMar w:top="851" w:right="1758" w:bottom="1134" w:left="851" w:header="709" w:footer="709" w:gutter="0"/>
          <w:cols w:space="708"/>
          <w:docGrid w:linePitch="360"/>
        </w:sect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AC6698" w:rsidRPr="00AC6698" w:rsidRDefault="00AC6698" w:rsidP="0055357F">
      <w:pPr>
        <w:spacing w:after="76"/>
        <w:ind w:left="705" w:right="45"/>
        <w:jc w:val="both"/>
        <w:rPr>
          <w:color w:val="000000"/>
          <w:szCs w:val="22"/>
        </w:rPr>
      </w:pPr>
    </w:p>
    <w:p w:rsidR="00AC6698" w:rsidRPr="00585C5E" w:rsidRDefault="00AC6698" w:rsidP="001C2B7D">
      <w:pPr>
        <w:ind w:left="3416"/>
        <w:rPr>
          <w:color w:val="000000"/>
          <w:sz w:val="20"/>
        </w:rPr>
      </w:pPr>
      <w:r w:rsidRPr="00AC6698">
        <w:rPr>
          <w:color w:val="000000"/>
          <w:szCs w:val="22"/>
        </w:rPr>
        <w:t xml:space="preserve"> </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50" w:name="приложение_5"/>
      <w:r>
        <w:rPr>
          <w:b w:val="0"/>
        </w:rPr>
        <w:t xml:space="preserve">  </w:t>
      </w:r>
      <w:r w:rsidR="000A0776">
        <w:rPr>
          <w:b w:val="0"/>
        </w:rPr>
        <w:t xml:space="preserve">                               </w:t>
      </w:r>
    </w:p>
    <w:p w:rsidR="00AB5DD7" w:rsidRDefault="004A5053" w:rsidP="00CC3A0D">
      <w:pPr>
        <w:pStyle w:val="affb"/>
      </w:pPr>
      <w:r>
        <w:rPr>
          <w:b w:val="0"/>
        </w:rPr>
        <w:tab/>
      </w:r>
      <w:r>
        <w:rPr>
          <w:b w:val="0"/>
        </w:rPr>
        <w:tab/>
      </w:r>
      <w:bookmarkStart w:id="51" w:name="_Toc74043329"/>
      <w:r w:rsidRPr="004A5053">
        <w:t xml:space="preserve">Приложение </w:t>
      </w:r>
      <w:r w:rsidR="00AB5DD7">
        <w:t>9</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51"/>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4" type="#_x0000_t75" style="width:12pt;height:19.5pt" o:ole="">
            <v:imagedata r:id="rId119" o:title=""/>
          </v:shape>
          <o:OLEObject Type="Embed" ProgID="Equation.3" ShapeID="_x0000_i1074" DrawAspect="Content" ObjectID="_1719229837" r:id="rId120"/>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5" type="#_x0000_t75" style="width:16.5pt;height:19.5pt" o:ole="">
            <v:imagedata r:id="rId121" o:title=""/>
          </v:shape>
          <o:OLEObject Type="Embed" ProgID="Equation.3" ShapeID="_x0000_i1075" DrawAspect="Content" ObjectID="_1719229838" r:id="rId122"/>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50"/>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0"/>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1C1A88"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1C1A88"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вкладам (депозитам) 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1"/>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1C2B7D">
      <w:pPr>
        <w:tabs>
          <w:tab w:val="left" w:pos="993"/>
        </w:tabs>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5E" w:rsidRDefault="00585C5E" w:rsidP="003830AE">
      <w:r>
        <w:separator/>
      </w:r>
    </w:p>
  </w:endnote>
  <w:endnote w:type="continuationSeparator" w:id="0">
    <w:p w:rsidR="00585C5E" w:rsidRDefault="00585C5E"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5E" w:rsidRDefault="00585C5E">
    <w:pPr>
      <w:pStyle w:val="af4"/>
      <w:jc w:val="right"/>
    </w:pPr>
    <w:r>
      <w:fldChar w:fldCharType="begin"/>
    </w:r>
    <w:r>
      <w:instrText>PAGE   \* MERGEFORMAT</w:instrText>
    </w:r>
    <w:r>
      <w:fldChar w:fldCharType="separate"/>
    </w:r>
    <w:r w:rsidR="001C1A88">
      <w:rPr>
        <w:noProof/>
      </w:rPr>
      <w:t>2</w:t>
    </w:r>
    <w:r>
      <w:fldChar w:fldCharType="end"/>
    </w:r>
  </w:p>
  <w:p w:rsidR="00585C5E" w:rsidRDefault="00585C5E">
    <w:pPr>
      <w:pStyle w:val="af4"/>
    </w:pPr>
  </w:p>
  <w:p w:rsidR="00585C5E" w:rsidRDefault="00585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5E" w:rsidRDefault="00585C5E" w:rsidP="003830AE">
      <w:r>
        <w:separator/>
      </w:r>
    </w:p>
  </w:footnote>
  <w:footnote w:type="continuationSeparator" w:id="0">
    <w:p w:rsidR="00585C5E" w:rsidRDefault="00585C5E" w:rsidP="003830AE">
      <w:r>
        <w:continuationSeparator/>
      </w:r>
    </w:p>
  </w:footnote>
  <w:footnote w:id="1">
    <w:p w:rsidR="00585C5E" w:rsidRDefault="00585C5E"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2">
    <w:p w:rsidR="00585C5E" w:rsidRDefault="00585C5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3">
    <w:p w:rsidR="00585C5E" w:rsidRPr="00934212" w:rsidRDefault="00585C5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1" w:history="1">
        <w:r w:rsidRPr="00934212">
          <w:rPr>
            <w:rStyle w:val="a7"/>
            <w:rFonts w:ascii="Times New Roman" w:hAnsi="Times New Roman"/>
            <w:sz w:val="20"/>
          </w:rPr>
          <w:t>https://www.treasury.gov/resource-center/data-chart-center/interest-rates/pages/TextView.aspx?data=yield</w:t>
        </w:r>
      </w:hyperlink>
    </w:p>
  </w:footnote>
  <w:footnote w:id="4">
    <w:p w:rsidR="00585C5E" w:rsidRDefault="00585C5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2" w:history="1">
        <w:r w:rsidRPr="00934212">
          <w:rPr>
            <w:rStyle w:val="a7"/>
            <w:rFonts w:ascii="Times New Roman" w:hAnsi="Times New Roman"/>
            <w:sz w:val="20"/>
          </w:rPr>
          <w:t>https://www.sofrrate.com/</w:t>
        </w:r>
      </w:hyperlink>
      <w:r>
        <w:t xml:space="preserve"> </w:t>
      </w:r>
    </w:p>
  </w:footnote>
  <w:footnote w:id="5">
    <w:p w:rsidR="00585C5E" w:rsidRPr="00934212" w:rsidRDefault="00585C5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https://www.ecb.europa.eu/stats/financial_markets_and_interest_rates/euro_area_yield_curves/html/index.en.html</w:t>
        </w:r>
      </w:hyperlink>
    </w:p>
  </w:footnote>
  <w:footnote w:id="6">
    <w:p w:rsidR="00585C5E" w:rsidRDefault="00585C5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7">
    <w:p w:rsidR="00585C5E" w:rsidRPr="00BE449B" w:rsidRDefault="00585C5E"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rsidR="00585C5E" w:rsidRPr="00FC2DDA" w:rsidRDefault="00585C5E"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rsidR="00585C5E" w:rsidRPr="00FD4F9A" w:rsidRDefault="00585C5E"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0">
    <w:p w:rsidR="00585C5E" w:rsidRPr="00404E0B" w:rsidRDefault="00585C5E"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585C5E" w:rsidRPr="00404E0B" w:rsidRDefault="00585C5E"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585C5E" w:rsidRPr="00E2653F" w:rsidRDefault="00585C5E"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1">
    <w:p w:rsidR="00585C5E" w:rsidRPr="000C2205" w:rsidRDefault="00585C5E" w:rsidP="00AB247E">
      <w:pPr>
        <w:pStyle w:val="ad"/>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испольнить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считется наступившим со дня, следующего за установленным сроком исполнения обязательств.</w:t>
      </w:r>
    </w:p>
  </w:footnote>
  <w:footnote w:id="12">
    <w:p w:rsidR="00585C5E" w:rsidRDefault="00585C5E"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3">
    <w:p w:rsidR="00585C5E" w:rsidRDefault="00585C5E"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14">
    <w:p w:rsidR="00585C5E" w:rsidRPr="00BB1F30" w:rsidRDefault="00585C5E" w:rsidP="00F013EC">
      <w:r>
        <w:rPr>
          <w:rStyle w:val="af"/>
        </w:rPr>
        <w:footnoteRef/>
      </w:r>
      <w:r>
        <w:t xml:space="preserve"> </w:t>
      </w:r>
      <w:r w:rsidRPr="001C2B7D">
        <w:rPr>
          <w:rFonts w:eastAsia="Calibri"/>
          <w:sz w:val="16"/>
          <w:szCs w:val="16"/>
          <w:lang w:eastAsia="en-US"/>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15">
    <w:p w:rsidR="00585C5E" w:rsidRPr="00EB4F7B" w:rsidRDefault="00585C5E"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16">
    <w:p w:rsidR="00585C5E" w:rsidRPr="001E2425" w:rsidRDefault="00585C5E"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585C5E" w:rsidRPr="001E2425" w:rsidRDefault="00585C5E"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17">
    <w:p w:rsidR="00585C5E" w:rsidRDefault="00585C5E" w:rsidP="007D0736">
      <w:pPr>
        <w:pStyle w:val="footnotedescription"/>
      </w:pPr>
      <w:r>
        <w:rPr>
          <w:rStyle w:val="footnotemark"/>
        </w:rPr>
        <w:footnoteRef/>
      </w:r>
      <w:r>
        <w:t xml:space="preserve"> Например, гостиницы, хостелы и т.п. </w:t>
      </w:r>
    </w:p>
  </w:footnote>
  <w:footnote w:id="18">
    <w:p w:rsidR="00585C5E" w:rsidRDefault="00585C5E" w:rsidP="009F5BCD">
      <w:pPr>
        <w:pStyle w:val="footnotedescription"/>
        <w:spacing w:line="305" w:lineRule="auto"/>
        <w:jc w:val="both"/>
      </w:pPr>
      <w:r>
        <w:rPr>
          <w:rStyle w:val="footnotemark"/>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 </w:t>
      </w:r>
    </w:p>
    <w:p w:rsidR="00585C5E" w:rsidRDefault="00585C5E" w:rsidP="009F5BCD">
      <w:pPr>
        <w:pStyle w:val="footnotedescription"/>
        <w:spacing w:after="19"/>
      </w:pPr>
      <w:r>
        <w:t xml:space="preserve"> </w:t>
      </w:r>
    </w:p>
  </w:footnote>
  <w:footnote w:id="19">
    <w:p w:rsidR="00585C5E" w:rsidRDefault="00585C5E" w:rsidP="009F5BCD">
      <w:pPr>
        <w:pStyle w:val="footnotedescription"/>
        <w:spacing w:line="307" w:lineRule="auto"/>
        <w:jc w:val="both"/>
      </w:pPr>
      <w:r>
        <w:rPr>
          <w:rStyle w:val="footnotemark"/>
        </w:rPr>
        <w:footnoteRef/>
      </w:r>
      <w:r>
        <w:t xml:space="preserve"> Возможно использовать другие модели для оценки кредитных спрэдов, с том числе через более сложные модели или через рынок CDS. </w:t>
      </w:r>
    </w:p>
  </w:footnote>
  <w:footnote w:id="20">
    <w:p w:rsidR="00585C5E" w:rsidRPr="00B14325" w:rsidRDefault="00585C5E"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1">
    <w:p w:rsidR="00585C5E" w:rsidRPr="00FE471A" w:rsidRDefault="00585C5E"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5"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3"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6"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9"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5"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8"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1"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3"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5"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6"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8"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4"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9"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8"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1"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7"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1"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4"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16"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0"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3"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6"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29"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2"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4"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9"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43"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44"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5"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9"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0"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1"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3"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49"/>
  </w:num>
  <w:num w:numId="3">
    <w:abstractNumId w:val="174"/>
  </w:num>
  <w:num w:numId="4">
    <w:abstractNumId w:val="4"/>
  </w:num>
  <w:num w:numId="5">
    <w:abstractNumId w:val="113"/>
  </w:num>
  <w:num w:numId="6">
    <w:abstractNumId w:val="153"/>
  </w:num>
  <w:num w:numId="7">
    <w:abstractNumId w:val="31"/>
  </w:num>
  <w:num w:numId="8">
    <w:abstractNumId w:val="199"/>
  </w:num>
  <w:num w:numId="9">
    <w:abstractNumId w:val="12"/>
  </w:num>
  <w:num w:numId="10">
    <w:abstractNumId w:val="134"/>
  </w:num>
  <w:num w:numId="11">
    <w:abstractNumId w:val="9"/>
  </w:num>
  <w:num w:numId="12">
    <w:abstractNumId w:val="17"/>
  </w:num>
  <w:num w:numId="13">
    <w:abstractNumId w:val="42"/>
  </w:num>
  <w:num w:numId="14">
    <w:abstractNumId w:val="62"/>
  </w:num>
  <w:num w:numId="15">
    <w:abstractNumId w:val="69"/>
  </w:num>
  <w:num w:numId="16">
    <w:abstractNumId w:val="189"/>
  </w:num>
  <w:num w:numId="17">
    <w:abstractNumId w:val="176"/>
  </w:num>
  <w:num w:numId="18">
    <w:abstractNumId w:val="133"/>
  </w:num>
  <w:num w:numId="19">
    <w:abstractNumId w:val="115"/>
  </w:num>
  <w:num w:numId="20">
    <w:abstractNumId w:val="120"/>
  </w:num>
  <w:num w:numId="21">
    <w:abstractNumId w:val="11"/>
  </w:num>
  <w:num w:numId="22">
    <w:abstractNumId w:val="1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36"/>
  </w:num>
  <w:num w:numId="25">
    <w:abstractNumId w:val="192"/>
  </w:num>
  <w:num w:numId="26">
    <w:abstractNumId w:val="154"/>
  </w:num>
  <w:num w:numId="27">
    <w:abstractNumId w:val="101"/>
  </w:num>
  <w:num w:numId="28">
    <w:abstractNumId w:val="78"/>
  </w:num>
  <w:num w:numId="29">
    <w:abstractNumId w:val="86"/>
  </w:num>
  <w:num w:numId="30">
    <w:abstractNumId w:val="139"/>
  </w:num>
  <w:num w:numId="31">
    <w:abstractNumId w:val="37"/>
  </w:num>
  <w:num w:numId="32">
    <w:abstractNumId w:val="5"/>
  </w:num>
  <w:num w:numId="33">
    <w:abstractNumId w:val="10"/>
  </w:num>
  <w:num w:numId="34">
    <w:abstractNumId w:val="178"/>
  </w:num>
  <w:num w:numId="35">
    <w:abstractNumId w:val="46"/>
  </w:num>
  <w:num w:numId="36">
    <w:abstractNumId w:val="111"/>
  </w:num>
  <w:num w:numId="37">
    <w:abstractNumId w:val="167"/>
  </w:num>
  <w:num w:numId="38">
    <w:abstractNumId w:val="119"/>
  </w:num>
  <w:num w:numId="39">
    <w:abstractNumId w:val="182"/>
  </w:num>
  <w:num w:numId="40">
    <w:abstractNumId w:val="82"/>
  </w:num>
  <w:num w:numId="41">
    <w:abstractNumId w:val="68"/>
  </w:num>
  <w:num w:numId="42">
    <w:abstractNumId w:val="24"/>
  </w:num>
  <w:num w:numId="43">
    <w:abstractNumId w:val="73"/>
  </w:num>
  <w:num w:numId="44">
    <w:abstractNumId w:val="100"/>
  </w:num>
  <w:num w:numId="45">
    <w:abstractNumId w:val="19"/>
  </w:num>
  <w:num w:numId="46">
    <w:abstractNumId w:val="60"/>
  </w:num>
  <w:num w:numId="47">
    <w:abstractNumId w:val="60"/>
    <w:lvlOverride w:ilvl="0">
      <w:startOverride w:val="1"/>
    </w:lvlOverride>
  </w:num>
  <w:num w:numId="48">
    <w:abstractNumId w:val="51"/>
  </w:num>
  <w:num w:numId="49">
    <w:abstractNumId w:val="117"/>
  </w:num>
  <w:num w:numId="50">
    <w:abstractNumId w:val="1"/>
  </w:num>
  <w:num w:numId="51">
    <w:abstractNumId w:val="56"/>
  </w:num>
  <w:num w:numId="52">
    <w:abstractNumId w:val="20"/>
  </w:num>
  <w:num w:numId="53">
    <w:abstractNumId w:val="63"/>
  </w:num>
  <w:num w:numId="54">
    <w:abstractNumId w:val="175"/>
  </w:num>
  <w:num w:numId="55">
    <w:abstractNumId w:val="104"/>
  </w:num>
  <w:num w:numId="56">
    <w:abstractNumId w:val="26"/>
  </w:num>
  <w:num w:numId="57">
    <w:abstractNumId w:val="162"/>
  </w:num>
  <w:num w:numId="58">
    <w:abstractNumId w:val="13"/>
  </w:num>
  <w:num w:numId="59">
    <w:abstractNumId w:val="62"/>
  </w:num>
  <w:num w:numId="60">
    <w:abstractNumId w:val="57"/>
  </w:num>
  <w:num w:numId="61">
    <w:abstractNumId w:val="98"/>
  </w:num>
  <w:num w:numId="62">
    <w:abstractNumId w:val="106"/>
  </w:num>
  <w:num w:numId="63">
    <w:abstractNumId w:val="94"/>
  </w:num>
  <w:num w:numId="64">
    <w:abstractNumId w:val="14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4"/>
  </w:num>
  <w:num w:numId="68">
    <w:abstractNumId w:val="25"/>
  </w:num>
  <w:num w:numId="69">
    <w:abstractNumId w:val="184"/>
  </w:num>
  <w:num w:numId="70">
    <w:abstractNumId w:val="41"/>
  </w:num>
  <w:num w:numId="71">
    <w:abstractNumId w:val="147"/>
  </w:num>
  <w:num w:numId="72">
    <w:abstractNumId w:val="109"/>
  </w:num>
  <w:num w:numId="73">
    <w:abstractNumId w:val="16"/>
  </w:num>
  <w:num w:numId="74">
    <w:abstractNumId w:val="107"/>
  </w:num>
  <w:num w:numId="75">
    <w:abstractNumId w:val="130"/>
  </w:num>
  <w:num w:numId="76">
    <w:abstractNumId w:val="35"/>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202"/>
  </w:num>
  <w:num w:numId="80">
    <w:abstractNumId w:val="163"/>
  </w:num>
  <w:num w:numId="81">
    <w:abstractNumId w:val="194"/>
  </w:num>
  <w:num w:numId="82">
    <w:abstractNumId w:val="45"/>
  </w:num>
  <w:num w:numId="83">
    <w:abstractNumId w:val="65"/>
  </w:num>
  <w:num w:numId="84">
    <w:abstractNumId w:val="90"/>
  </w:num>
  <w:num w:numId="85">
    <w:abstractNumId w:val="121"/>
  </w:num>
  <w:num w:numId="86">
    <w:abstractNumId w:val="0"/>
  </w:num>
  <w:num w:numId="87">
    <w:abstractNumId w:val="29"/>
  </w:num>
  <w:num w:numId="88">
    <w:abstractNumId w:val="127"/>
  </w:num>
  <w:num w:numId="89">
    <w:abstractNumId w:val="44"/>
  </w:num>
  <w:num w:numId="90">
    <w:abstractNumId w:val="48"/>
  </w:num>
  <w:num w:numId="91">
    <w:abstractNumId w:val="34"/>
  </w:num>
  <w:num w:numId="92">
    <w:abstractNumId w:val="32"/>
  </w:num>
  <w:num w:numId="93">
    <w:abstractNumId w:val="64"/>
  </w:num>
  <w:num w:numId="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num>
  <w:num w:numId="96">
    <w:abstractNumId w:val="171"/>
  </w:num>
  <w:num w:numId="97">
    <w:abstractNumId w:val="108"/>
  </w:num>
  <w:num w:numId="98">
    <w:abstractNumId w:val="170"/>
  </w:num>
  <w:num w:numId="99">
    <w:abstractNumId w:val="196"/>
  </w:num>
  <w:num w:numId="100">
    <w:abstractNumId w:val="180"/>
  </w:num>
  <w:num w:numId="101">
    <w:abstractNumId w:val="137"/>
  </w:num>
  <w:num w:numId="102">
    <w:abstractNumId w:val="138"/>
  </w:num>
  <w:num w:numId="103">
    <w:abstractNumId w:val="144"/>
  </w:num>
  <w:num w:numId="104">
    <w:abstractNumId w:val="181"/>
  </w:num>
  <w:num w:numId="105">
    <w:abstractNumId w:val="93"/>
  </w:num>
  <w:num w:numId="106">
    <w:abstractNumId w:val="118"/>
  </w:num>
  <w:num w:numId="10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0"/>
  </w:num>
  <w:num w:numId="109">
    <w:abstractNumId w:val="36"/>
  </w:num>
  <w:num w:numId="110">
    <w:abstractNumId w:val="52"/>
  </w:num>
  <w:num w:numId="111">
    <w:abstractNumId w:val="143"/>
  </w:num>
  <w:num w:numId="112">
    <w:abstractNumId w:val="161"/>
  </w:num>
  <w:num w:numId="113">
    <w:abstractNumId w:val="155"/>
  </w:num>
  <w:num w:numId="114">
    <w:abstractNumId w:val="40"/>
  </w:num>
  <w:num w:numId="115">
    <w:abstractNumId w:val="97"/>
  </w:num>
  <w:num w:numId="116">
    <w:abstractNumId w:val="18"/>
  </w:num>
  <w:num w:numId="117">
    <w:abstractNumId w:val="125"/>
  </w:num>
  <w:num w:numId="118">
    <w:abstractNumId w:val="80"/>
  </w:num>
  <w:num w:numId="1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88"/>
  </w:num>
  <w:num w:numId="122">
    <w:abstractNumId w:val="185"/>
  </w:num>
  <w:num w:numId="123">
    <w:abstractNumId w:val="75"/>
  </w:num>
  <w:num w:numId="124">
    <w:abstractNumId w:val="195"/>
  </w:num>
  <w:num w:numId="125">
    <w:abstractNumId w:val="116"/>
  </w:num>
  <w:num w:numId="1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2"/>
  </w:num>
  <w:num w:numId="128">
    <w:abstractNumId w:val="142"/>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9"/>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0"/>
  </w:num>
  <w:num w:numId="134">
    <w:abstractNumId w:val="19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8"/>
  </w:num>
  <w:num w:numId="136">
    <w:abstractNumId w:val="15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71"/>
  </w:num>
  <w:num w:numId="139">
    <w:abstractNumId w:val="19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9"/>
  </w:num>
  <w:num w:numId="142">
    <w:abstractNumId w:val="110"/>
  </w:num>
  <w:num w:numId="143">
    <w:abstractNumId w:val="89"/>
  </w:num>
  <w:num w:numId="144">
    <w:abstractNumId w:val="38"/>
  </w:num>
  <w:num w:numId="145">
    <w:abstractNumId w:val="200"/>
  </w:num>
  <w:num w:numId="146">
    <w:abstractNumId w:val="151"/>
  </w:num>
  <w:num w:numId="147">
    <w:abstractNumId w:val="132"/>
  </w:num>
  <w:num w:numId="148">
    <w:abstractNumId w:val="74"/>
  </w:num>
  <w:num w:numId="149">
    <w:abstractNumId w:val="43"/>
  </w:num>
  <w:num w:numId="150">
    <w:abstractNumId w:val="168"/>
  </w:num>
  <w:num w:numId="151">
    <w:abstractNumId w:val="72"/>
  </w:num>
  <w:num w:numId="152">
    <w:abstractNumId w:val="49"/>
  </w:num>
  <w:num w:numId="153">
    <w:abstractNumId w:val="96"/>
  </w:num>
  <w:num w:numId="154">
    <w:abstractNumId w:val="3"/>
  </w:num>
  <w:num w:numId="155">
    <w:abstractNumId w:val="39"/>
  </w:num>
  <w:num w:numId="156">
    <w:abstractNumId w:val="55"/>
  </w:num>
  <w:num w:numId="157">
    <w:abstractNumId w:val="179"/>
  </w:num>
  <w:num w:numId="158">
    <w:abstractNumId w:val="102"/>
  </w:num>
  <w:num w:numId="159">
    <w:abstractNumId w:val="164"/>
  </w:num>
  <w:num w:numId="160">
    <w:abstractNumId w:val="183"/>
  </w:num>
  <w:num w:numId="161">
    <w:abstractNumId w:val="169"/>
  </w:num>
  <w:num w:numId="162">
    <w:abstractNumId w:val="92"/>
  </w:num>
  <w:num w:numId="163">
    <w:abstractNumId w:val="177"/>
  </w:num>
  <w:num w:numId="164">
    <w:abstractNumId w:val="70"/>
  </w:num>
  <w:num w:numId="165">
    <w:abstractNumId w:val="201"/>
  </w:num>
  <w:num w:numId="166">
    <w:abstractNumId w:val="67"/>
  </w:num>
  <w:num w:numId="167">
    <w:abstractNumId w:val="129"/>
  </w:num>
  <w:num w:numId="168">
    <w:abstractNumId w:val="188"/>
  </w:num>
  <w:num w:numId="169">
    <w:abstractNumId w:val="112"/>
  </w:num>
  <w:num w:numId="170">
    <w:abstractNumId w:val="54"/>
  </w:num>
  <w:num w:numId="171">
    <w:abstractNumId w:val="103"/>
  </w:num>
  <w:num w:numId="172">
    <w:abstractNumId w:val="103"/>
  </w:num>
  <w:num w:numId="173">
    <w:abstractNumId w:val="198"/>
  </w:num>
  <w:num w:numId="174">
    <w:abstractNumId w:val="103"/>
  </w:num>
  <w:num w:numId="175">
    <w:abstractNumId w:val="87"/>
  </w:num>
  <w:num w:numId="176">
    <w:abstractNumId w:val="123"/>
  </w:num>
  <w:num w:numId="177">
    <w:abstractNumId w:val="2"/>
  </w:num>
  <w:num w:numId="178">
    <w:abstractNumId w:val="145"/>
  </w:num>
  <w:num w:numId="179">
    <w:abstractNumId w:val="145"/>
  </w:num>
  <w:num w:numId="180">
    <w:abstractNumId w:val="103"/>
  </w:num>
  <w:num w:numId="181">
    <w:abstractNumId w:val="149"/>
  </w:num>
  <w:num w:numId="182">
    <w:abstractNumId w:val="152"/>
  </w:num>
  <w:num w:numId="183">
    <w:abstractNumId w:val="197"/>
  </w:num>
  <w:num w:numId="184">
    <w:abstractNumId w:val="105"/>
  </w:num>
  <w:num w:numId="185">
    <w:abstractNumId w:val="95"/>
  </w:num>
  <w:num w:numId="186">
    <w:abstractNumId w:val="79"/>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49"/>
  </w:num>
  <w:num w:numId="195">
    <w:abstractNumId w:val="149"/>
  </w:num>
  <w:num w:numId="196">
    <w:abstractNumId w:val="124"/>
  </w:num>
  <w:num w:numId="197">
    <w:abstractNumId w:val="83"/>
  </w:num>
  <w:num w:numId="198">
    <w:abstractNumId w:val="156"/>
  </w:num>
  <w:num w:numId="199">
    <w:abstractNumId w:val="172"/>
  </w:num>
  <w:num w:numId="2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0"/>
  </w:num>
  <w:num w:numId="204">
    <w:abstractNumId w:val="61"/>
  </w:num>
  <w:num w:numId="205">
    <w:abstractNumId w:val="166"/>
  </w:num>
  <w:num w:numId="206">
    <w:abstractNumId w:val="58"/>
  </w:num>
  <w:num w:numId="207">
    <w:abstractNumId w:val="141"/>
  </w:num>
  <w:num w:numId="208">
    <w:abstractNumId w:val="187"/>
  </w:num>
  <w:num w:numId="209">
    <w:abstractNumId w:val="66"/>
  </w:num>
  <w:num w:numId="210">
    <w:abstractNumId w:val="157"/>
  </w:num>
  <w:num w:numId="211">
    <w:abstractNumId w:val="91"/>
  </w:num>
  <w:num w:numId="212">
    <w:abstractNumId w:val="149"/>
  </w:num>
  <w:num w:numId="213">
    <w:abstractNumId w:val="30"/>
  </w:num>
  <w:num w:numId="214">
    <w:abstractNumId w:val="21"/>
  </w:num>
  <w:num w:numId="215">
    <w:abstractNumId w:val="59"/>
  </w:num>
  <w:num w:numId="216">
    <w:abstractNumId w:val="191"/>
  </w:num>
  <w:num w:numId="217">
    <w:abstractNumId w:val="140"/>
  </w:num>
  <w:num w:numId="218">
    <w:abstractNumId w:val="7"/>
  </w:num>
  <w:num w:numId="219">
    <w:abstractNumId w:val="6"/>
  </w:num>
  <w:num w:numId="220">
    <w:abstractNumId w:val="22"/>
  </w:num>
  <w:num w:numId="221">
    <w:abstractNumId w:val="165"/>
  </w:num>
  <w:num w:numId="222">
    <w:abstractNumId w:val="148"/>
  </w:num>
  <w:num w:numId="223">
    <w:abstractNumId w:val="131"/>
  </w:num>
  <w:num w:numId="224">
    <w:abstractNumId w:val="28"/>
  </w:num>
  <w:num w:numId="225">
    <w:abstractNumId w:val="160"/>
  </w:num>
  <w:num w:numId="226">
    <w:abstractNumId w:val="81"/>
  </w:num>
  <w:num w:numId="227">
    <w:abstractNumId w:val="47"/>
  </w:num>
  <w:num w:numId="228">
    <w:abstractNumId w:val="33"/>
  </w:num>
  <w:num w:numId="229">
    <w:abstractNumId w:val="114"/>
  </w:num>
  <w:num w:numId="230">
    <w:abstractNumId w:val="135"/>
  </w:num>
  <w:num w:numId="231">
    <w:abstractNumId w:val="76"/>
  </w:num>
  <w:num w:numId="232">
    <w:abstractNumId w:val="173"/>
  </w:num>
  <w:num w:numId="233">
    <w:abstractNumId w:val="149"/>
  </w:num>
  <w:num w:numId="234">
    <w:abstractNumId w:val="149"/>
  </w:num>
  <w:num w:numId="235">
    <w:abstractNumId w:val="149"/>
  </w:num>
  <w:num w:numId="236">
    <w:abstractNumId w:val="149"/>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64EC"/>
    <w:rsid w:val="000276CA"/>
    <w:rsid w:val="00030BE0"/>
    <w:rsid w:val="00030ECC"/>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44FB"/>
    <w:rsid w:val="0017499E"/>
    <w:rsid w:val="00174F07"/>
    <w:rsid w:val="00177A2C"/>
    <w:rsid w:val="00177F5E"/>
    <w:rsid w:val="00180342"/>
    <w:rsid w:val="00180B38"/>
    <w:rsid w:val="00180F46"/>
    <w:rsid w:val="00182DF7"/>
    <w:rsid w:val="00183909"/>
    <w:rsid w:val="0018525A"/>
    <w:rsid w:val="00185CD4"/>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1A88"/>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3597"/>
    <w:rsid w:val="00204226"/>
    <w:rsid w:val="00204D22"/>
    <w:rsid w:val="00207827"/>
    <w:rsid w:val="002126EA"/>
    <w:rsid w:val="00213492"/>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00AB"/>
    <w:rsid w:val="002543F5"/>
    <w:rsid w:val="00260669"/>
    <w:rsid w:val="0026178D"/>
    <w:rsid w:val="00262611"/>
    <w:rsid w:val="002636F7"/>
    <w:rsid w:val="00267CC5"/>
    <w:rsid w:val="002702DA"/>
    <w:rsid w:val="00270861"/>
    <w:rsid w:val="0027171C"/>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2D20"/>
    <w:rsid w:val="002D54C0"/>
    <w:rsid w:val="002D5F26"/>
    <w:rsid w:val="002D602D"/>
    <w:rsid w:val="002E2563"/>
    <w:rsid w:val="002E2B71"/>
    <w:rsid w:val="002E7818"/>
    <w:rsid w:val="002F1B74"/>
    <w:rsid w:val="002F21D8"/>
    <w:rsid w:val="002F4C60"/>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ACD"/>
    <w:rsid w:val="00343CE2"/>
    <w:rsid w:val="00343DA6"/>
    <w:rsid w:val="00344F13"/>
    <w:rsid w:val="0034772B"/>
    <w:rsid w:val="0034795F"/>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C3866"/>
    <w:rsid w:val="003C3BD8"/>
    <w:rsid w:val="003C6824"/>
    <w:rsid w:val="003C6846"/>
    <w:rsid w:val="003C70FC"/>
    <w:rsid w:val="003D2C4C"/>
    <w:rsid w:val="003D50D8"/>
    <w:rsid w:val="003D5A8E"/>
    <w:rsid w:val="003D64D4"/>
    <w:rsid w:val="003E2CAE"/>
    <w:rsid w:val="003E39BE"/>
    <w:rsid w:val="003E60E5"/>
    <w:rsid w:val="003E6260"/>
    <w:rsid w:val="003F3810"/>
    <w:rsid w:val="003F63E9"/>
    <w:rsid w:val="004009F2"/>
    <w:rsid w:val="00400C3B"/>
    <w:rsid w:val="00401BC1"/>
    <w:rsid w:val="00402638"/>
    <w:rsid w:val="0040417C"/>
    <w:rsid w:val="00404E0B"/>
    <w:rsid w:val="00404EC3"/>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4919"/>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BC8"/>
    <w:rsid w:val="00576DF7"/>
    <w:rsid w:val="005776D4"/>
    <w:rsid w:val="00577858"/>
    <w:rsid w:val="0058077E"/>
    <w:rsid w:val="00580DCE"/>
    <w:rsid w:val="005827CD"/>
    <w:rsid w:val="00585C5E"/>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7559"/>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51D8"/>
    <w:rsid w:val="00701426"/>
    <w:rsid w:val="007016C0"/>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366F"/>
    <w:rsid w:val="00967466"/>
    <w:rsid w:val="009709E7"/>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C2487"/>
    <w:rsid w:val="009C4A83"/>
    <w:rsid w:val="009C52A7"/>
    <w:rsid w:val="009C681C"/>
    <w:rsid w:val="009C7BDD"/>
    <w:rsid w:val="009D0B2A"/>
    <w:rsid w:val="009D16D9"/>
    <w:rsid w:val="009D1C36"/>
    <w:rsid w:val="009D3075"/>
    <w:rsid w:val="009E0409"/>
    <w:rsid w:val="009E1AD3"/>
    <w:rsid w:val="009E392C"/>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A07"/>
    <w:rsid w:val="00A96122"/>
    <w:rsid w:val="00A96E08"/>
    <w:rsid w:val="00A96FB4"/>
    <w:rsid w:val="00AA0159"/>
    <w:rsid w:val="00AA0EEB"/>
    <w:rsid w:val="00AA1A0E"/>
    <w:rsid w:val="00AA35E0"/>
    <w:rsid w:val="00AB232A"/>
    <w:rsid w:val="00AB247E"/>
    <w:rsid w:val="00AB4C83"/>
    <w:rsid w:val="00AB4E39"/>
    <w:rsid w:val="00AB5DD7"/>
    <w:rsid w:val="00AB6548"/>
    <w:rsid w:val="00AB7824"/>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45A"/>
    <w:rsid w:val="00AF183B"/>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6261"/>
    <w:rsid w:val="00D412EB"/>
    <w:rsid w:val="00D425EE"/>
    <w:rsid w:val="00D44548"/>
    <w:rsid w:val="00D44DB3"/>
    <w:rsid w:val="00D455FD"/>
    <w:rsid w:val="00D5553E"/>
    <w:rsid w:val="00D57BCC"/>
    <w:rsid w:val="00D57F7A"/>
    <w:rsid w:val="00D61A01"/>
    <w:rsid w:val="00D64665"/>
    <w:rsid w:val="00D64D02"/>
    <w:rsid w:val="00D651B4"/>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82C"/>
    <w:rsid w:val="00E957FD"/>
    <w:rsid w:val="00E961FA"/>
    <w:rsid w:val="00E97C2D"/>
    <w:rsid w:val="00EA0553"/>
    <w:rsid w:val="00EA2071"/>
    <w:rsid w:val="00EA21F0"/>
    <w:rsid w:val="00EA3CFE"/>
    <w:rsid w:val="00EA4001"/>
    <w:rsid w:val="00EA563C"/>
    <w:rsid w:val="00EA565C"/>
    <w:rsid w:val="00EA5C85"/>
    <w:rsid w:val="00EA6339"/>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7F12"/>
    <w:rsid w:val="00F97F4A"/>
    <w:rsid w:val="00FA1CEB"/>
    <w:rsid w:val="00FA386D"/>
    <w:rsid w:val="00FA4753"/>
    <w:rsid w:val="00FA592F"/>
    <w:rsid w:val="00FA651B"/>
    <w:rsid w:val="00FA740D"/>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1ADA52C3-6457-4E27-B284-BFF4E366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basedOn w:val="a1"/>
    <w:link w:val="ae"/>
    <w:unhideWhenUsed/>
    <w:rsid w:val="003830AE"/>
    <w:rPr>
      <w:rFonts w:ascii="Verdana" w:eastAsia="Calibri" w:hAnsi="Verdana"/>
      <w:lang w:eastAsia="en-US"/>
    </w:rPr>
  </w:style>
  <w:style w:type="character" w:customStyle="1" w:styleId="ae">
    <w:name w:val="Текст сноски Знак"/>
    <w:link w:val="ad"/>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unhideWhenUsed/>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moex.com/ru/index/RUCBITRB3Y/archive/" TargetMode="Externa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spglobal.com/ratings/en/research/articles/220413-default-transition-and-recovery-2021-annual-global-corporate-default-and-rating-transition-study-12336975" TargetMode="External"/><Relationship Id="rId112" Type="http://schemas.openxmlformats.org/officeDocument/2006/relationships/hyperlink" Target="http://moex.com/a2195" TargetMode="External"/><Relationship Id="rId16" Type="http://schemas.openxmlformats.org/officeDocument/2006/relationships/oleObject" Target="embeddings/oleObject4.bin"/><Relationship Id="rId107" Type="http://schemas.openxmlformats.org/officeDocument/2006/relationships/hyperlink" Target="http://moex.com/a2196" TargetMode="Externa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hyperlink" Target="http://moex.com/a2197"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www.e-disclosure.ru/" TargetMode="External"/><Relationship Id="rId95" Type="http://schemas.openxmlformats.org/officeDocument/2006/relationships/hyperlink" Target="https://fedresurs.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hyperlink" Target="https://bankruptcy.kommersant.ru" TargetMode="External"/><Relationship Id="rId105" Type="http://schemas.openxmlformats.org/officeDocument/2006/relationships/hyperlink" Target="http://moex.com/ru/index/RUCBITRBBB3Y/archive" TargetMode="External"/><Relationship Id="rId113" Type="http://schemas.openxmlformats.org/officeDocument/2006/relationships/hyperlink" Target="http://moex.com/a2195" TargetMode="External"/><Relationship Id="rId118" Type="http://schemas.openxmlformats.org/officeDocument/2006/relationships/footer" Target="footer1.xml"/><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kad.arbitr.ru/" TargetMode="External"/><Relationship Id="rId98" Type="http://schemas.openxmlformats.org/officeDocument/2006/relationships/hyperlink" Target="https://kad.arbitr.ru/" TargetMode="External"/><Relationship Id="rId121"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hyperlink" Target="http://moex.com/a2197" TargetMode="External"/><Relationship Id="rId108" Type="http://schemas.openxmlformats.org/officeDocument/2006/relationships/hyperlink" Target="http://moex.com/a2196" TargetMode="External"/><Relationship Id="rId116" Type="http://schemas.openxmlformats.org/officeDocument/2006/relationships/hyperlink" Target="http://moex.com/ru/index/RUCBITRB3Y/archive/" TargetMode="External"/><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spratings.com/documents/20184/774196/2016+Annual+Global+Corporate+Default+Study+And+Rating+Transitions.pdf/2ddcf9dd-3b82-4151-9dab-8e3fc70a7035" TargetMode="External"/><Relationship Id="rId91" Type="http://schemas.openxmlformats.org/officeDocument/2006/relationships/hyperlink" Target="https://www.moex.com/" TargetMode="External"/><Relationship Id="rId96" Type="http://schemas.openxmlformats.org/officeDocument/2006/relationships/hyperlink" Target="https://www.moodys.com/" TargetMode="External"/><Relationship Id="rId111" Type="http://schemas.openxmlformats.org/officeDocument/2006/relationships/hyperlink" Target="http://moex.com/ru/index/RUCBITRB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hyperlink" Target="http://moex.com/ru/index/RUCBITRBBB3Y/archive" TargetMode="External"/><Relationship Id="rId114" Type="http://schemas.openxmlformats.org/officeDocument/2006/relationships/hyperlink" Target="http://moex.com/a2195" TargetMode="External"/><Relationship Id="rId119" Type="http://schemas.openxmlformats.org/officeDocument/2006/relationships/image" Target="media/image32.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global.com/ratings/en/research/articles/220413-default-transition-and-recovery-2021-annual-global-corporate-default-and-rating-transition-study-12336975" TargetMode="External"/><Relationship Id="rId94" Type="http://schemas.openxmlformats.org/officeDocument/2006/relationships/hyperlink" Target="https://bankrot.fedresurs.ru" TargetMode="External"/><Relationship Id="rId99" Type="http://schemas.openxmlformats.org/officeDocument/2006/relationships/hyperlink" Target="https://bankrot.fedresurs.ru" TargetMode="External"/><Relationship Id="rId101" Type="http://schemas.openxmlformats.org/officeDocument/2006/relationships/hyperlink" Target="http://moex.com/a2197" TargetMode="External"/><Relationship Id="rId122"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yperlink" Target="http://moex.com/ru/index/RUCBITRBB3Y/archive" TargetMode="External"/><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www.gks.ru/accounting_report" TargetMode="External"/><Relationship Id="rId104" Type="http://schemas.openxmlformats.org/officeDocument/2006/relationships/hyperlink" Target="http://moex.com/ru/index/RUCBITRBBB3Y/archive" TargetMode="External"/><Relationship Id="rId120"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www.cbr.ru/"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hyperlink" Target="http://moex.com/ru/index/RUCBITRBB3Y/archive" TargetMode="External"/><Relationship Id="rId115" Type="http://schemas.openxmlformats.org/officeDocument/2006/relationships/hyperlink" Target="http://moex.com/ru/index/RUCBITRB3Y/arch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5" Type="http://schemas.openxmlformats.org/officeDocument/2006/relationships/hyperlink" Target="http://www.cbr.ru/statistics/?PrtId=int_rat&amp;ch=PAR_11965"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B464-9615-46B4-9818-863A7D7B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25773</Words>
  <Characters>146908</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172337</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4</cp:revision>
  <cp:lastPrinted>2021-06-09T10:26:00Z</cp:lastPrinted>
  <dcterms:created xsi:type="dcterms:W3CDTF">2022-07-13T09:08:00Z</dcterms:created>
  <dcterms:modified xsi:type="dcterms:W3CDTF">2022-07-13T11:52:00Z</dcterms:modified>
</cp:coreProperties>
</file>